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728"/>
        <w:gridCol w:w="4842"/>
      </w:tblGrid>
      <w:tr w:rsidR="00B12FDA" w:rsidTr="00FA3E3C">
        <w:trPr>
          <w:trHeight w:hRule="exact" w:val="4687"/>
        </w:trPr>
        <w:tc>
          <w:tcPr>
            <w:tcW w:w="1728" w:type="dxa"/>
          </w:tcPr>
          <w:p w:rsidR="00B12FDA" w:rsidRDefault="00B12FDA" w:rsidP="00B12FDA">
            <w:pPr>
              <w:pStyle w:val="Bodycopy"/>
            </w:pPr>
          </w:p>
        </w:tc>
        <w:tc>
          <w:tcPr>
            <w:tcW w:w="4842" w:type="dxa"/>
          </w:tcPr>
          <w:p w:rsidR="00B12FDA" w:rsidRDefault="00B12FDA" w:rsidP="00576950">
            <w:pPr>
              <w:pStyle w:val="Bodycopy"/>
            </w:pPr>
          </w:p>
        </w:tc>
      </w:tr>
      <w:tr w:rsidR="00B12FDA" w:rsidTr="00FA3E3C">
        <w:trPr>
          <w:trHeight w:hRule="exact" w:val="5668"/>
        </w:trPr>
        <w:tc>
          <w:tcPr>
            <w:tcW w:w="1728" w:type="dxa"/>
          </w:tcPr>
          <w:p w:rsidR="00B12FDA" w:rsidRPr="00BF5182" w:rsidRDefault="00B12FDA" w:rsidP="00B12FDA">
            <w:pPr>
              <w:pStyle w:val="Bodycopy"/>
            </w:pPr>
          </w:p>
        </w:tc>
        <w:tc>
          <w:tcPr>
            <w:tcW w:w="4842" w:type="dxa"/>
          </w:tcPr>
          <w:p w:rsidR="00B12FDA" w:rsidRPr="00552D58" w:rsidRDefault="00FA3E3C" w:rsidP="00FA3E3C">
            <w:pPr>
              <w:pStyle w:val="Title"/>
              <w:rPr>
                <w:sz w:val="68"/>
                <w:szCs w:val="68"/>
              </w:rPr>
            </w:pPr>
            <w:r w:rsidRPr="00552D58">
              <w:rPr>
                <w:sz w:val="68"/>
                <w:szCs w:val="68"/>
              </w:rPr>
              <w:t xml:space="preserve">What’s new for Data </w:t>
            </w:r>
            <w:r w:rsidR="009C789B" w:rsidRPr="00552D58">
              <w:rPr>
                <w:sz w:val="68"/>
                <w:szCs w:val="68"/>
              </w:rPr>
              <w:t>Warehouse</w:t>
            </w:r>
            <w:r w:rsidRPr="00552D58">
              <w:rPr>
                <w:sz w:val="68"/>
                <w:szCs w:val="68"/>
              </w:rPr>
              <w:t xml:space="preserve"> Fast Track for SQL Server 2014</w:t>
            </w:r>
          </w:p>
        </w:tc>
      </w:tr>
    </w:tbl>
    <w:p w:rsidR="00641BD9" w:rsidRDefault="00641BD9" w:rsidP="00082080">
      <w:pPr>
        <w:pStyle w:val="Bodycopy"/>
      </w:pPr>
    </w:p>
    <w:p w:rsidR="00A54589" w:rsidRDefault="00A54589" w:rsidP="00082080">
      <w:pPr>
        <w:pStyle w:val="Bodycopy"/>
      </w:pPr>
      <w:r>
        <w:br w:type="page"/>
      </w:r>
    </w:p>
    <w:tbl>
      <w:tblPr>
        <w:tblStyle w:val="TableGrid"/>
        <w:tblpPr w:leftFromText="187" w:rightFromText="187" w:vertAnchor="page" w:horzAnchor="page" w:tblpX="511" w:tblpY="8176"/>
        <w:tblOverlap w:val="never"/>
        <w:tblW w:w="0" w:type="auto"/>
        <w:tblLook w:val="04A0" w:firstRow="1" w:lastRow="0" w:firstColumn="1" w:lastColumn="0" w:noHBand="0" w:noVBand="1"/>
      </w:tblPr>
      <w:tblGrid>
        <w:gridCol w:w="2880"/>
      </w:tblGrid>
      <w:tr w:rsidR="00037AE9" w:rsidRPr="00AA4C6B" w:rsidTr="00037AE9">
        <w:trPr>
          <w:trHeight w:hRule="exact" w:val="6768"/>
        </w:trPr>
        <w:tc>
          <w:tcPr>
            <w:tcW w:w="2880" w:type="dxa"/>
            <w:vAlign w:val="bottom"/>
          </w:tcPr>
          <w:p w:rsidR="00037AE9" w:rsidRPr="00AA4C6B" w:rsidRDefault="00037AE9" w:rsidP="00037AE9">
            <w:pPr>
              <w:pStyle w:val="ToCCopyrightcopy"/>
            </w:pPr>
            <w:r>
              <w:t>© 2014</w:t>
            </w:r>
            <w:r w:rsidRPr="00AA4C6B">
              <w:t xml:space="preserve"> Microsoft Corporation. All rights reserved. This document is provided “as-is.” Information and views expressed in this document, including URL and other Internet Web site references, may change without notice. You bear the risk of using it. This document does not provide you with any legal rights to any intellectual property in any Microsoft product. You may copy and use this document for your internal, reference purposes. You may modify this document for your internal, reference purposes.</w:t>
            </w:r>
          </w:p>
        </w:tc>
      </w:tr>
    </w:tbl>
    <w:p w:rsidR="00472351" w:rsidRPr="00AC09CC" w:rsidRDefault="00472351" w:rsidP="00472351">
      <w:pPr>
        <w:pStyle w:val="ContentsHeading"/>
      </w:pPr>
      <w:r w:rsidRPr="00E77676">
        <w:t>Contents</w:t>
      </w:r>
    </w:p>
    <w:p w:rsidR="00472351" w:rsidRDefault="00472351" w:rsidP="00472351">
      <w:pPr>
        <w:pStyle w:val="ToCmanualentrieswithtabs"/>
      </w:pPr>
      <w:r>
        <w:fldChar w:fldCharType="begin"/>
      </w:r>
      <w:r>
        <w:instrText xml:space="preserve"> PAGEREF _Ref383515129 \h </w:instrText>
      </w:r>
      <w:r>
        <w:fldChar w:fldCharType="separate"/>
      </w:r>
      <w:r>
        <w:rPr>
          <w:noProof/>
        </w:rPr>
        <w:t>3</w:t>
      </w:r>
      <w:r>
        <w:fldChar w:fldCharType="end"/>
      </w:r>
      <w:r>
        <w:tab/>
      </w:r>
      <w:r>
        <w:fldChar w:fldCharType="begin"/>
      </w:r>
      <w:r>
        <w:instrText xml:space="preserve"> REF _Ref383515129 \h </w:instrText>
      </w:r>
      <w:r>
        <w:fldChar w:fldCharType="separate"/>
      </w:r>
      <w:r>
        <w:rPr>
          <w:szCs w:val="54"/>
        </w:rPr>
        <w:t>Executive summary</w:t>
      </w:r>
      <w:r>
        <w:fldChar w:fldCharType="end"/>
      </w:r>
    </w:p>
    <w:p w:rsidR="00472351" w:rsidRDefault="009543D1" w:rsidP="00472351">
      <w:pPr>
        <w:pStyle w:val="ToCmanualentrieswithtabs"/>
        <w:ind w:left="1080" w:hanging="1080"/>
      </w:pPr>
      <w:r>
        <w:t>4</w:t>
      </w:r>
      <w:r w:rsidR="00472351">
        <w:tab/>
      </w:r>
      <w:r w:rsidR="006168D4">
        <w:t>Part of the Microsoft modern data w</w:t>
      </w:r>
      <w:r w:rsidR="00472351">
        <w:t>arehouse</w:t>
      </w:r>
    </w:p>
    <w:p w:rsidR="00472351" w:rsidRDefault="00472351" w:rsidP="00472351">
      <w:pPr>
        <w:pStyle w:val="ToCmanualentrieswithtabs"/>
        <w:ind w:left="1080" w:hanging="1080"/>
        <w:rPr>
          <w:noProof/>
        </w:rPr>
      </w:pPr>
      <w:r>
        <w:rPr>
          <w:noProof/>
        </w:rPr>
        <w:t>5</w:t>
      </w:r>
      <w:r>
        <w:rPr>
          <w:noProof/>
        </w:rPr>
        <w:tab/>
        <w:t>Improving DW Fast Track with SQL Server 2014</w:t>
      </w:r>
    </w:p>
    <w:p w:rsidR="00472351" w:rsidRDefault="00472351" w:rsidP="00472351">
      <w:pPr>
        <w:pStyle w:val="ToCmanualentrieswithtabs"/>
      </w:pPr>
      <w:r>
        <w:tab/>
      </w:r>
      <w:r w:rsidR="006168D4">
        <w:t>6</w:t>
      </w:r>
      <w:r>
        <w:tab/>
        <w:t>Clustered columnstore indexes</w:t>
      </w:r>
    </w:p>
    <w:p w:rsidR="00472351" w:rsidRDefault="00472351" w:rsidP="00472351">
      <w:pPr>
        <w:pStyle w:val="ToCmanualentrieswithtabs"/>
        <w:ind w:left="2160" w:hanging="2160"/>
      </w:pPr>
      <w:r>
        <w:tab/>
      </w:r>
      <w:r w:rsidR="009543D1">
        <w:t>9</w:t>
      </w:r>
      <w:r>
        <w:tab/>
        <w:t>Additional SQL Server 2014</w:t>
      </w:r>
      <w:r>
        <w:br/>
        <w:t>advantages</w:t>
      </w:r>
    </w:p>
    <w:p w:rsidR="00472351" w:rsidRDefault="006168D4" w:rsidP="00472351">
      <w:pPr>
        <w:pStyle w:val="ToCmanualentrieswithtabs"/>
        <w:ind w:left="1080" w:hanging="1080"/>
      </w:pPr>
      <w:r>
        <w:t>10</w:t>
      </w:r>
      <w:r w:rsidR="00472351">
        <w:tab/>
        <w:t>Changes in hardware specification</w:t>
      </w:r>
    </w:p>
    <w:p w:rsidR="00472351" w:rsidRDefault="009543D1" w:rsidP="00472351">
      <w:pPr>
        <w:pStyle w:val="ToCmanualentrieswithtabs"/>
        <w:ind w:left="1080" w:hanging="1080"/>
      </w:pPr>
      <w:r>
        <w:t>11</w:t>
      </w:r>
      <w:r w:rsidR="00472351">
        <w:tab/>
        <w:t>Conclusion</w:t>
      </w:r>
    </w:p>
    <w:p w:rsidR="00472351" w:rsidRDefault="006168D4" w:rsidP="00472351">
      <w:pPr>
        <w:pStyle w:val="ToCmanualentrieswithtabs"/>
        <w:ind w:left="1080" w:hanging="1080"/>
      </w:pPr>
      <w:r>
        <w:t>11</w:t>
      </w:r>
      <w:r w:rsidR="00472351">
        <w:tab/>
        <w:t>Get started today</w:t>
      </w:r>
    </w:p>
    <w:p w:rsidR="00472351" w:rsidRDefault="006168D4" w:rsidP="00472351">
      <w:pPr>
        <w:pStyle w:val="ToCmanualentrieswithtabs"/>
        <w:ind w:left="1080" w:hanging="1080"/>
      </w:pPr>
      <w:r>
        <w:t>11</w:t>
      </w:r>
      <w:r w:rsidR="00472351">
        <w:tab/>
        <w:t>For more information</w:t>
      </w:r>
    </w:p>
    <w:p w:rsidR="00BF5182" w:rsidRDefault="00BF5182" w:rsidP="00BF5182">
      <w:pPr>
        <w:pStyle w:val="Bodycopy"/>
        <w:sectPr w:rsidR="00BF5182" w:rsidSect="00B12FDA">
          <w:headerReference w:type="default" r:id="rId11"/>
          <w:footerReference w:type="default" r:id="rId12"/>
          <w:headerReference w:type="first" r:id="rId13"/>
          <w:pgSz w:w="12240" w:h="15840" w:code="1"/>
          <w:pgMar w:top="533" w:right="720" w:bottom="1008" w:left="4464" w:header="288" w:footer="547" w:gutter="0"/>
          <w:pgNumType w:start="1"/>
          <w:cols w:space="720"/>
          <w:titlePg/>
          <w:docGrid w:linePitch="360"/>
        </w:sectPr>
      </w:pP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EE59A4" w:rsidRPr="00EE59A4" w:rsidTr="00EE59A4">
        <w:trPr>
          <w:trHeight w:hRule="exact" w:val="3312"/>
        </w:trPr>
        <w:tc>
          <w:tcPr>
            <w:tcW w:w="3312" w:type="dxa"/>
            <w:shd w:val="clear" w:color="auto" w:fill="BB141A" w:themeFill="background2"/>
          </w:tcPr>
          <w:p w:rsidR="00F256DB" w:rsidRPr="00EE59A4" w:rsidRDefault="00C60EA2" w:rsidP="00EE59A4">
            <w:pPr>
              <w:pStyle w:val="Heading1"/>
              <w:framePr w:wrap="auto" w:vAnchor="margin" w:hAnchor="text" w:xAlign="left" w:yAlign="inline"/>
              <w:suppressOverlap w:val="0"/>
              <w:outlineLvl w:val="0"/>
              <w:rPr>
                <w:szCs w:val="54"/>
              </w:rPr>
            </w:pPr>
            <w:bookmarkStart w:id="0" w:name="_Ref383515129"/>
            <w:r>
              <w:rPr>
                <w:szCs w:val="54"/>
              </w:rPr>
              <w:t>Executive summary</w:t>
            </w:r>
            <w:bookmarkEnd w:id="0"/>
          </w:p>
        </w:tc>
      </w:tr>
    </w:tbl>
    <w:p w:rsidR="00FF4E3F" w:rsidRDefault="002079BF" w:rsidP="007A5827">
      <w:pPr>
        <w:pStyle w:val="Introductoryparagraph"/>
      </w:pPr>
      <w:r>
        <w:t xml:space="preserve">Designing an effective </w:t>
      </w:r>
      <w:r w:rsidR="007A5827">
        <w:t xml:space="preserve">data warehouse </w:t>
      </w:r>
      <w:r>
        <w:t xml:space="preserve">solution requires the right </w:t>
      </w:r>
      <w:r w:rsidR="007A5827">
        <w:t>configuration of</w:t>
      </w:r>
      <w:r>
        <w:t xml:space="preserve"> software and hardware</w:t>
      </w:r>
      <w:r w:rsidR="007A5827">
        <w:t xml:space="preserve">, but </w:t>
      </w:r>
      <w:r>
        <w:t>not every organization has the time, resour</w:t>
      </w:r>
      <w:r w:rsidR="007A5827">
        <w:t>ces, and expertise to d</w:t>
      </w:r>
      <w:r w:rsidR="00CE092C">
        <w:t>evelop such a solution</w:t>
      </w:r>
      <w:r w:rsidR="007A5827">
        <w:t xml:space="preserve">. </w:t>
      </w:r>
      <w:r w:rsidR="00E14053">
        <w:t xml:space="preserve">The Data </w:t>
      </w:r>
      <w:r w:rsidR="00E14053" w:rsidRPr="00552D58">
        <w:t xml:space="preserve">Warehouse Fast Track </w:t>
      </w:r>
      <w:r w:rsidR="00E14053">
        <w:t xml:space="preserve">(DW Fast Track) </w:t>
      </w:r>
      <w:r w:rsidR="00E14053" w:rsidRPr="00552D58">
        <w:t>reference architecture</w:t>
      </w:r>
      <w:r w:rsidR="00E14053">
        <w:t xml:space="preserve"> </w:t>
      </w:r>
      <w:r w:rsidR="004D1F10">
        <w:t xml:space="preserve">is </w:t>
      </w:r>
      <w:r w:rsidR="0017119C">
        <w:t xml:space="preserve">designed to help </w:t>
      </w:r>
      <w:r w:rsidR="00CD3121">
        <w:t>you</w:t>
      </w:r>
      <w:r w:rsidR="0017119C">
        <w:t xml:space="preserve"> build an optimal data warehouse solution</w:t>
      </w:r>
      <w:r w:rsidR="002A6B5D">
        <w:t xml:space="preserve"> </w:t>
      </w:r>
      <w:r w:rsidR="00CE092C">
        <w:t xml:space="preserve">that meets your unique needs. </w:t>
      </w:r>
    </w:p>
    <w:p w:rsidR="00684AE4" w:rsidRDefault="00FF4E3F" w:rsidP="00781C30">
      <w:pPr>
        <w:pStyle w:val="Bodycopy"/>
      </w:pPr>
      <w:r w:rsidRPr="00781C30">
        <w:t xml:space="preserve">With a step-by-step guide from Microsoft and its hardware partners, you can build medium to large data warehouse solutions by taking advantage of Microsoft SQL Server 2014 Enterprise in combination with well-tuned configurations from approved hardware partners. </w:t>
      </w:r>
    </w:p>
    <w:p w:rsidR="004B7DAD" w:rsidRPr="00781C30" w:rsidRDefault="00113C4D" w:rsidP="00781C30">
      <w:pPr>
        <w:pStyle w:val="Bodycopy"/>
      </w:pPr>
      <w:r>
        <w:t>With SQL Server, you can build a data warehouse solution that delivers mission-critical performance</w:t>
      </w:r>
      <w:r w:rsidR="008F7C72">
        <w:t xml:space="preserve"> by achieving </w:t>
      </w:r>
      <w:r>
        <w:t>faster transactions</w:t>
      </w:r>
      <w:r w:rsidR="00AD2320">
        <w:rPr>
          <w:rFonts w:ascii="Segoe UI Light" w:hAnsi="Segoe UI Light" w:cs="Segoe UI Light"/>
        </w:rPr>
        <w:t>—</w:t>
      </w:r>
      <w:r w:rsidR="00AD2320">
        <w:t>up to 30 times faster</w:t>
      </w:r>
      <w:r w:rsidR="00AD2320">
        <w:rPr>
          <w:rFonts w:ascii="Segoe UI Light" w:hAnsi="Segoe UI Light" w:cs="Segoe UI Light"/>
        </w:rPr>
        <w:t>—</w:t>
      </w:r>
      <w:r>
        <w:t>with in-memory online transaction processing (OLTP)</w:t>
      </w:r>
      <w:r w:rsidR="00AD2320">
        <w:t>,</w:t>
      </w:r>
      <w:r>
        <w:t xml:space="preserve"> in addition to enhanced security, scalability, and high availability. </w:t>
      </w:r>
      <w:r w:rsidR="00AD2320">
        <w:t>You can also gain faster in</w:t>
      </w:r>
      <w:r w:rsidR="008F7C72">
        <w:t>sights into virtually any data through e</w:t>
      </w:r>
      <w:r w:rsidR="00AD2320">
        <w:t xml:space="preserve">nhanced self-service business intelligence (BI) </w:t>
      </w:r>
      <w:r w:rsidR="008F7C72">
        <w:t xml:space="preserve">with </w:t>
      </w:r>
      <w:r w:rsidR="00AD2320">
        <w:t xml:space="preserve">familiar tools like Microsoft Excel. SQL Server </w:t>
      </w:r>
      <w:r w:rsidR="00D1103D">
        <w:t>offers</w:t>
      </w:r>
      <w:r w:rsidR="00AD2320">
        <w:t xml:space="preserve"> a platform for hybrid cloud </w:t>
      </w:r>
      <w:r w:rsidR="00CA00D6">
        <w:t>by providing</w:t>
      </w:r>
      <w:r w:rsidR="00AD2320">
        <w:t xml:space="preserve"> a </w:t>
      </w:r>
      <w:r w:rsidR="008F7C72">
        <w:t>common set of tools across the entire application lifecycle</w:t>
      </w:r>
      <w:r w:rsidR="00AD2320">
        <w:t>.</w:t>
      </w:r>
      <w:r w:rsidR="00CA00D6">
        <w:t xml:space="preserve"> Finally, </w:t>
      </w:r>
      <w:r w:rsidR="00684AE4">
        <w:t>SQL Server 2014</w:t>
      </w:r>
      <w:r w:rsidR="00D1103D">
        <w:t>, using In-Memory C</w:t>
      </w:r>
      <w:r w:rsidR="00E7478E">
        <w:t>olumnstore,</w:t>
      </w:r>
      <w:r w:rsidR="00684AE4">
        <w:t xml:space="preserve"> currently holds the world record TPC-H benchmark</w:t>
      </w:r>
      <w:r w:rsidR="00684AE4">
        <w:rPr>
          <w:rFonts w:ascii="Segoe UI Light" w:hAnsi="Segoe UI Light" w:cs="Segoe UI Light"/>
        </w:rPr>
        <w:t xml:space="preserve"> </w:t>
      </w:r>
      <w:r w:rsidR="00684AE4">
        <w:t>in price and performance</w:t>
      </w:r>
      <w:r w:rsidR="00684AE4">
        <w:rPr>
          <w:rFonts w:ascii="Segoe UI Light" w:hAnsi="Segoe UI Light" w:cs="Segoe UI Light"/>
        </w:rPr>
        <w:t xml:space="preserve"> </w:t>
      </w:r>
      <w:r w:rsidR="00684AE4">
        <w:t>for data warehousing.</w:t>
      </w:r>
      <w:r w:rsidR="00684AE4">
        <w:rPr>
          <w:rStyle w:val="FootnoteReference"/>
        </w:rPr>
        <w:footnoteReference w:id="1"/>
      </w:r>
      <w:r w:rsidR="00684AE4">
        <w:t xml:space="preserve"> </w:t>
      </w:r>
    </w:p>
    <w:p w:rsidR="00E14053" w:rsidRDefault="00E14053" w:rsidP="00EE59A4">
      <w:pPr>
        <w:pStyle w:val="Bodycopy"/>
      </w:pPr>
      <w:r w:rsidRPr="00E14053">
        <w:t xml:space="preserve">Through extensive co-engineering and testing, Microsoft supports qualified partners in the development and validation of data warehouse reference architectures that achieve high performance at a cost-effective price. </w:t>
      </w:r>
      <w:r>
        <w:t xml:space="preserve">DW Fast Track delivers </w:t>
      </w:r>
      <w:r w:rsidR="004B2A0D">
        <w:t xml:space="preserve">one of </w:t>
      </w:r>
      <w:r w:rsidRPr="00E14053">
        <w:t>the most balanced configuration</w:t>
      </w:r>
      <w:r w:rsidR="004B2A0D">
        <w:t>s</w:t>
      </w:r>
      <w:r w:rsidRPr="00E14053">
        <w:t xml:space="preserve"> of</w:t>
      </w:r>
      <w:r>
        <w:t xml:space="preserve"> CPU, </w:t>
      </w:r>
      <w:r w:rsidRPr="00477A4C">
        <w:t>IO, and storage resources through the use of templates, tools</w:t>
      </w:r>
      <w:r w:rsidR="000F35A3" w:rsidRPr="00477A4C">
        <w:t>,</w:t>
      </w:r>
      <w:r w:rsidRPr="00477A4C">
        <w:t xml:space="preserve"> and tests shared with partners that are audited </w:t>
      </w:r>
      <w:r w:rsidR="002D5C6D">
        <w:t xml:space="preserve">and validated </w:t>
      </w:r>
      <w:r w:rsidRPr="00477A4C">
        <w:t xml:space="preserve">by Microsoft. </w:t>
      </w:r>
      <w:r w:rsidR="00341EDE">
        <w:t xml:space="preserve">Ultimately, the reference architecture can help you </w:t>
      </w:r>
      <w:r w:rsidR="008B756F">
        <w:t>reduce the time and cost of setting up data warehouse workloads</w:t>
      </w:r>
      <w:r w:rsidR="004D1F10">
        <w:t>, while allowing you to work with</w:t>
      </w:r>
      <w:r w:rsidR="008D7B41">
        <w:t xml:space="preserve"> a </w:t>
      </w:r>
      <w:r w:rsidR="00341EDE">
        <w:t>hardware</w:t>
      </w:r>
      <w:r w:rsidR="008D7B41">
        <w:t xml:space="preserve"> vendor of your choice</w:t>
      </w:r>
      <w:r w:rsidR="00341EDE">
        <w:t>.</w:t>
      </w:r>
      <w:r w:rsidR="00CA00D6">
        <w:t xml:space="preserve"> </w:t>
      </w:r>
    </w:p>
    <w:p w:rsidR="00AE5DB5" w:rsidRDefault="00552D58" w:rsidP="00236DA7">
      <w:pPr>
        <w:pStyle w:val="Bodycopy"/>
      </w:pPr>
      <w:r w:rsidRPr="00552D58">
        <w:t xml:space="preserve">This white paper </w:t>
      </w:r>
      <w:r w:rsidR="00E351FC">
        <w:t xml:space="preserve">is intended for </w:t>
      </w:r>
      <w:r w:rsidR="002079BF">
        <w:t xml:space="preserve">database architects and database administrators. </w:t>
      </w:r>
      <w:r w:rsidR="00E351FC">
        <w:t xml:space="preserve">It </w:t>
      </w:r>
      <w:r w:rsidR="002079BF">
        <w:t>explains</w:t>
      </w:r>
      <w:r w:rsidRPr="00552D58">
        <w:t xml:space="preserve"> </w:t>
      </w:r>
      <w:r w:rsidR="0004225C">
        <w:t xml:space="preserve">how DW Fast Track fits within </w:t>
      </w:r>
      <w:r w:rsidR="000F35A3">
        <w:t xml:space="preserve">the </w:t>
      </w:r>
      <w:r w:rsidR="0004225C">
        <w:t xml:space="preserve">Microsoft </w:t>
      </w:r>
      <w:r w:rsidR="000F35A3">
        <w:t>m</w:t>
      </w:r>
      <w:r w:rsidR="0004225C">
        <w:t xml:space="preserve">odern </w:t>
      </w:r>
      <w:r w:rsidR="000F35A3">
        <w:t>d</w:t>
      </w:r>
      <w:r w:rsidR="0004225C">
        <w:t xml:space="preserve">ata </w:t>
      </w:r>
      <w:r w:rsidR="000F35A3">
        <w:t>w</w:t>
      </w:r>
      <w:r w:rsidR="0004225C">
        <w:t>arehouse vision</w:t>
      </w:r>
      <w:r w:rsidR="002079BF">
        <w:t>, while providing an overview of</w:t>
      </w:r>
      <w:r w:rsidR="00070C52">
        <w:t xml:space="preserve"> </w:t>
      </w:r>
      <w:r w:rsidR="0004225C">
        <w:t xml:space="preserve">the </w:t>
      </w:r>
      <w:r w:rsidRPr="00552D58">
        <w:t xml:space="preserve">improvements that SQL Server 2014 brings to the </w:t>
      </w:r>
      <w:r w:rsidR="00E825E0">
        <w:t>DW</w:t>
      </w:r>
      <w:r w:rsidRPr="00552D58">
        <w:t xml:space="preserve"> Fast Track offering</w:t>
      </w:r>
      <w:r w:rsidR="00070C52">
        <w:t>, which</w:t>
      </w:r>
      <w:r w:rsidR="0004225C">
        <w:t xml:space="preserve"> can deliver up to 10 times faster queries with up to 15 times better disk compression</w:t>
      </w:r>
      <w:r w:rsidRPr="00552D58">
        <w:t xml:space="preserve">. </w:t>
      </w:r>
      <w:r w:rsidR="0004225C">
        <w:t xml:space="preserve">Finally, </w:t>
      </w:r>
      <w:r w:rsidR="00070C52">
        <w:t xml:space="preserve">this paper </w:t>
      </w:r>
      <w:r w:rsidR="0004225C">
        <w:t>cover</w:t>
      </w:r>
      <w:r w:rsidR="002079BF">
        <w:t>s</w:t>
      </w:r>
      <w:r w:rsidR="0004225C">
        <w:t xml:space="preserve"> </w:t>
      </w:r>
      <w:r w:rsidRPr="00552D58">
        <w:t>changes in the reference configurations from the Data Warehouse Fast Track for</w:t>
      </w:r>
      <w:r w:rsidR="0004225C">
        <w:t xml:space="preserve"> SQL </w:t>
      </w:r>
      <w:r w:rsidR="00070C52">
        <w:t xml:space="preserve">Server 2012 implementation, which </w:t>
      </w:r>
      <w:r w:rsidR="00CB64D0">
        <w:t>provide</w:t>
      </w:r>
      <w:r w:rsidR="0004225C">
        <w:t xml:space="preserve"> more memory and processing power for your data warehouse workloads.</w:t>
      </w:r>
      <w:r w:rsidR="00593BCA">
        <w:t xml:space="preserve"> </w:t>
      </w:r>
    </w:p>
    <w:p w:rsidR="00044244" w:rsidRDefault="00044244" w:rsidP="00236DA7">
      <w:pPr>
        <w:pStyle w:val="Bodycopy"/>
      </w:pP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2E5A9E" w:rsidRPr="00B85889" w:rsidTr="002E5A9E">
        <w:trPr>
          <w:trHeight w:hRule="exact" w:val="3312"/>
        </w:trPr>
        <w:tc>
          <w:tcPr>
            <w:tcW w:w="3312" w:type="dxa"/>
            <w:shd w:val="clear" w:color="auto" w:fill="BB141A" w:themeFill="background2"/>
          </w:tcPr>
          <w:p w:rsidR="002E5A9E" w:rsidRPr="00B85889" w:rsidRDefault="006168D4" w:rsidP="00552D58">
            <w:pPr>
              <w:pStyle w:val="Heading1"/>
              <w:framePr w:wrap="auto" w:vAnchor="margin" w:hAnchor="text" w:xAlign="left" w:yAlign="inline"/>
              <w:suppressOverlap w:val="0"/>
              <w:outlineLvl w:val="0"/>
            </w:pPr>
            <w:bookmarkStart w:id="1" w:name="_Ref383515208"/>
            <w:r>
              <w:t>Part of</w:t>
            </w:r>
            <w:r w:rsidR="00552D58">
              <w:t xml:space="preserve"> the Microsoft </w:t>
            </w:r>
            <w:r w:rsidR="004C4213">
              <w:t>m</w:t>
            </w:r>
            <w:r w:rsidR="00552D58">
              <w:t xml:space="preserve">odern </w:t>
            </w:r>
            <w:r w:rsidR="00552D58">
              <w:br/>
            </w:r>
            <w:r w:rsidR="004C4213">
              <w:t>d</w:t>
            </w:r>
            <w:r w:rsidR="00552D58">
              <w:t xml:space="preserve">ata </w:t>
            </w:r>
            <w:r w:rsidR="004C4213">
              <w:t>w</w:t>
            </w:r>
            <w:r w:rsidR="002E5A9E">
              <w:t>arehouse</w:t>
            </w:r>
            <w:bookmarkEnd w:id="1"/>
          </w:p>
        </w:tc>
      </w:tr>
    </w:tbl>
    <w:p w:rsidR="002E5A9E" w:rsidRDefault="00552D58" w:rsidP="00DF0FBD">
      <w:pPr>
        <w:pStyle w:val="Bodycopy"/>
      </w:pPr>
      <w:r>
        <w:t xml:space="preserve">The Microsoft </w:t>
      </w:r>
      <w:r w:rsidR="004C4213">
        <w:t>m</w:t>
      </w:r>
      <w:r w:rsidR="00080024">
        <w:t xml:space="preserve">odern </w:t>
      </w:r>
      <w:r w:rsidR="004C4213">
        <w:t>d</w:t>
      </w:r>
      <w:r w:rsidR="00080024">
        <w:t xml:space="preserve">ata </w:t>
      </w:r>
      <w:r w:rsidR="004C4213">
        <w:t>w</w:t>
      </w:r>
      <w:r w:rsidR="002E5A9E">
        <w:t xml:space="preserve">arehouse </w:t>
      </w:r>
      <w:r w:rsidR="00DF0FBD">
        <w:t>deliver</w:t>
      </w:r>
      <w:r w:rsidR="002E5A9E">
        <w:t>s</w:t>
      </w:r>
      <w:r w:rsidR="00DF0FBD">
        <w:t xml:space="preserve"> a </w:t>
      </w:r>
      <w:r w:rsidR="006B0010">
        <w:t xml:space="preserve">complete </w:t>
      </w:r>
      <w:r w:rsidR="00DF0FBD">
        <w:t xml:space="preserve">logical data and analytics platform </w:t>
      </w:r>
      <w:r w:rsidR="006B0010">
        <w:t>with a</w:t>
      </w:r>
      <w:r w:rsidR="002E5A9E">
        <w:t xml:space="preserve"> suite of fully supported solutions and technologies</w:t>
      </w:r>
      <w:r w:rsidR="001A48E5">
        <w:t>. It is designed to</w:t>
      </w:r>
      <w:r w:rsidR="00DF0FBD">
        <w:t xml:space="preserve"> meet the needs of even the most demanding modern enterprise—on-premises, in the cloud, or within </w:t>
      </w:r>
      <w:r w:rsidR="0080437A">
        <w:t xml:space="preserve">nearly </w:t>
      </w:r>
      <w:r w:rsidR="00DF0FBD">
        <w:t>any hybrid scenario</w:t>
      </w:r>
      <w:r>
        <w:t xml:space="preserve"> (Figure 1</w:t>
      </w:r>
      <w:r w:rsidR="006E4584">
        <w:t>)</w:t>
      </w:r>
      <w:r w:rsidR="00DF0FBD">
        <w:t>.</w:t>
      </w:r>
    </w:p>
    <w:p w:rsidR="006E4584" w:rsidRDefault="006E4584" w:rsidP="006E4584">
      <w:pPr>
        <w:pStyle w:val="Imagefullcolumn"/>
      </w:pPr>
      <w:r>
        <w:rPr>
          <w:noProof/>
        </w:rPr>
        <w:drawing>
          <wp:inline distT="0" distB="0" distL="0" distR="0" wp14:anchorId="28F5B770" wp14:editId="758B1D73">
            <wp:extent cx="4572000" cy="30994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99435"/>
                    </a:xfrm>
                    <a:prstGeom prst="rect">
                      <a:avLst/>
                    </a:prstGeom>
                    <a:noFill/>
                  </pic:spPr>
                </pic:pic>
              </a:graphicData>
            </a:graphic>
          </wp:inline>
        </w:drawing>
      </w:r>
    </w:p>
    <w:p w:rsidR="006E4584" w:rsidRDefault="006E4584" w:rsidP="006E4584">
      <w:pPr>
        <w:pStyle w:val="Caption"/>
        <w:ind w:left="0"/>
      </w:pPr>
    </w:p>
    <w:p w:rsidR="006E4584" w:rsidRPr="006E4584" w:rsidRDefault="006E4584" w:rsidP="006E4584">
      <w:pPr>
        <w:pStyle w:val="Caption"/>
        <w:ind w:left="0"/>
      </w:pPr>
      <w:r w:rsidRPr="006E4584">
        <w:t xml:space="preserve">Figure </w:t>
      </w:r>
      <w:r w:rsidR="00552D58">
        <w:t>1</w:t>
      </w:r>
      <w:r w:rsidRPr="006E4584">
        <w:t>: Layered framework of the modern data warehouse</w:t>
      </w:r>
    </w:p>
    <w:p w:rsidR="006E4584" w:rsidRPr="00BF06B5" w:rsidRDefault="006E4584" w:rsidP="000E0AD0">
      <w:pPr>
        <w:pStyle w:val="Bodycopy"/>
      </w:pPr>
    </w:p>
    <w:p w:rsidR="00D84887" w:rsidRDefault="00D84887" w:rsidP="006B0010">
      <w:pPr>
        <w:pStyle w:val="Heading3"/>
      </w:pPr>
      <w:r w:rsidRPr="0078236D">
        <w:t>Data management and processing</w:t>
      </w:r>
    </w:p>
    <w:p w:rsidR="001A48E5" w:rsidRPr="00BF06B5" w:rsidRDefault="001A48E5" w:rsidP="006B0010">
      <w:pPr>
        <w:pStyle w:val="Bodycopy"/>
      </w:pPr>
      <w:r w:rsidRPr="006B0010">
        <w:t xml:space="preserve">A </w:t>
      </w:r>
      <w:r w:rsidR="00D84887" w:rsidRPr="006B0010">
        <w:t xml:space="preserve">modern data warehouse starts with the ability to handle both relational and non-relational </w:t>
      </w:r>
      <w:r w:rsidRPr="00FD1D77">
        <w:t xml:space="preserve">(like Hadoop) </w:t>
      </w:r>
      <w:r w:rsidR="00D84887" w:rsidRPr="00FD1D77">
        <w:t xml:space="preserve">data sources </w:t>
      </w:r>
      <w:r w:rsidR="00B74C06" w:rsidRPr="00FD1D77">
        <w:t>seamlessly</w:t>
      </w:r>
      <w:r w:rsidR="00B74C06" w:rsidRPr="006E4584">
        <w:t xml:space="preserve">. </w:t>
      </w:r>
      <w:r w:rsidRPr="006E4584">
        <w:t xml:space="preserve">It </w:t>
      </w:r>
      <w:r w:rsidR="00B74C06" w:rsidRPr="00A62AC6">
        <w:t>can</w:t>
      </w:r>
      <w:r w:rsidRPr="00A62AC6">
        <w:t xml:space="preserve"> manage</w:t>
      </w:r>
      <w:r w:rsidR="00D84887" w:rsidRPr="00A62AC6">
        <w:t xml:space="preserve"> data in real</w:t>
      </w:r>
      <w:r w:rsidRPr="00A62AC6">
        <w:t xml:space="preserve"> </w:t>
      </w:r>
      <w:r w:rsidR="00D84887" w:rsidRPr="00A62AC6">
        <w:t xml:space="preserve">time using complex event processing </w:t>
      </w:r>
      <w:r w:rsidRPr="00D5705D">
        <w:t xml:space="preserve">(CEP) </w:t>
      </w:r>
      <w:r w:rsidR="00D84887" w:rsidRPr="00D5705D">
        <w:t>technologies</w:t>
      </w:r>
      <w:r w:rsidR="006B0010" w:rsidRPr="00D5705D">
        <w:t>, as well as easily integrate internal and external data</w:t>
      </w:r>
      <w:r w:rsidR="00D84887" w:rsidRPr="00D5705D">
        <w:t>.</w:t>
      </w:r>
      <w:r w:rsidRPr="00D5705D">
        <w:t xml:space="preserve"> In addition, a modern data warehouse</w:t>
      </w:r>
      <w:r w:rsidR="00D84887" w:rsidRPr="00012768">
        <w:t xml:space="preserve"> provides an analytic</w:t>
      </w:r>
      <w:r w:rsidR="006B0010" w:rsidRPr="00012768">
        <w:t>s</w:t>
      </w:r>
      <w:r w:rsidR="00D84887" w:rsidRPr="00D65AE7">
        <w:t xml:space="preserve"> engine for predictive analysis and interactive exploration of aggregated data from different perspectives.</w:t>
      </w:r>
    </w:p>
    <w:p w:rsidR="00D84887" w:rsidRDefault="00D84887" w:rsidP="006B0010">
      <w:pPr>
        <w:pStyle w:val="Heading3"/>
      </w:pPr>
      <w:r w:rsidRPr="0078236D">
        <w:t>Data enrichment and federated query</w:t>
      </w:r>
    </w:p>
    <w:p w:rsidR="00F012BD" w:rsidRPr="006168D4" w:rsidRDefault="004B22E1" w:rsidP="006168D4">
      <w:pPr>
        <w:pStyle w:val="Bodycopy"/>
      </w:pPr>
      <w:r>
        <w:t>A</w:t>
      </w:r>
      <w:r w:rsidR="00D84887">
        <w:t xml:space="preserve"> modern data warehouse </w:t>
      </w:r>
      <w:r>
        <w:t>can</w:t>
      </w:r>
      <w:r w:rsidR="00D84887">
        <w:t xml:space="preserve"> enrich data with </w:t>
      </w:r>
      <w:r>
        <w:t>e</w:t>
      </w:r>
      <w:r w:rsidR="00D84887">
        <w:t xml:space="preserve">xtract, </w:t>
      </w:r>
      <w:r>
        <w:t>t</w:t>
      </w:r>
      <w:r w:rsidR="00D84887">
        <w:t>ransform</w:t>
      </w:r>
      <w:r>
        <w:t>,</w:t>
      </w:r>
      <w:r w:rsidR="00D84887">
        <w:t xml:space="preserve"> and </w:t>
      </w:r>
      <w:r>
        <w:t>l</w:t>
      </w:r>
      <w:r w:rsidR="00D84887">
        <w:t>oad (ETL) capabilities</w:t>
      </w:r>
      <w:r>
        <w:t>; it also can better ensure</w:t>
      </w:r>
      <w:r w:rsidR="00D84887">
        <w:t xml:space="preserve"> credible and consistent data through </w:t>
      </w:r>
      <w:r>
        <w:t>support resources like Microsoft D</w:t>
      </w:r>
      <w:r w:rsidR="00D84887">
        <w:t xml:space="preserve">ata </w:t>
      </w:r>
      <w:r>
        <w:t>Q</w:t>
      </w:r>
      <w:r w:rsidR="00D84887">
        <w:t>uality</w:t>
      </w:r>
      <w:r>
        <w:t xml:space="preserve"> Services</w:t>
      </w:r>
      <w:r w:rsidR="00D84887">
        <w:t xml:space="preserve"> and </w:t>
      </w:r>
      <w:r>
        <w:t>M</w:t>
      </w:r>
      <w:r w:rsidR="00D84887">
        <w:t xml:space="preserve">aster </w:t>
      </w:r>
      <w:r>
        <w:t>D</w:t>
      </w:r>
      <w:r w:rsidR="00D84887">
        <w:t xml:space="preserve">ata </w:t>
      </w:r>
      <w:r>
        <w:t>S</w:t>
      </w:r>
      <w:r w:rsidR="00D84887">
        <w:t>ervices.</w:t>
      </w:r>
      <w:r>
        <w:t xml:space="preserve"> Plus, a modern data warehouse</w:t>
      </w:r>
      <w:r w:rsidR="00D84887">
        <w:t xml:space="preserve"> provides a single query mechanism across different types of data through a federated query service. </w:t>
      </w:r>
    </w:p>
    <w:p w:rsidR="00D84887" w:rsidRDefault="00D84887" w:rsidP="00FD1D77">
      <w:pPr>
        <w:pStyle w:val="Heading3"/>
      </w:pPr>
      <w:r>
        <w:t>Business intelligence and analytics</w:t>
      </w:r>
    </w:p>
    <w:p w:rsidR="006168D4" w:rsidRPr="00781C30" w:rsidRDefault="004B22E1" w:rsidP="00781C30">
      <w:pPr>
        <w:pStyle w:val="Bodycopy"/>
      </w:pPr>
      <w:r>
        <w:t xml:space="preserve">A </w:t>
      </w:r>
      <w:r w:rsidR="00D84887">
        <w:t xml:space="preserve">modern data warehouse </w:t>
      </w:r>
      <w:r>
        <w:t>must</w:t>
      </w:r>
      <w:r w:rsidR="00D84887">
        <w:t xml:space="preserve"> support the breadth of tools </w:t>
      </w:r>
      <w:r>
        <w:t>available to help</w:t>
      </w:r>
      <w:r w:rsidR="00D84887">
        <w:t xml:space="preserve"> organizations act</w:t>
      </w:r>
      <w:r>
        <w:t xml:space="preserve"> </w:t>
      </w:r>
      <w:r w:rsidR="00D84887">
        <w:t>on data.</w:t>
      </w:r>
      <w:r w:rsidR="00FD1D77">
        <w:t xml:space="preserve"> This includes f</w:t>
      </w:r>
      <w:r>
        <w:t>amiliar s</w:t>
      </w:r>
      <w:r w:rsidR="00B74C06">
        <w:t>elf-service</w:t>
      </w:r>
      <w:r>
        <w:t xml:space="preserve"> tools</w:t>
      </w:r>
      <w:r w:rsidR="00FD1D77">
        <w:t xml:space="preserve"> that </w:t>
      </w:r>
      <w:r w:rsidR="00346C2E">
        <w:t>simplify data analysis</w:t>
      </w:r>
      <w:r w:rsidR="00D84887">
        <w:t xml:space="preserve"> for business users</w:t>
      </w:r>
      <w:r w:rsidR="00346C2E">
        <w:t xml:space="preserve"> and help them</w:t>
      </w:r>
      <w:r w:rsidR="006807B8">
        <w:t xml:space="preserve"> </w:t>
      </w:r>
      <w:r w:rsidR="00D84887">
        <w:t>create and share analytics in a team environment</w:t>
      </w:r>
      <w:r w:rsidR="006807B8">
        <w:t xml:space="preserve"> </w:t>
      </w:r>
      <w:r w:rsidR="00D84887">
        <w:t>across a variety of devices.</w:t>
      </w:r>
      <w:r w:rsidR="00346C2E">
        <w:t xml:space="preserve"> </w:t>
      </w:r>
      <w:r w:rsidR="00D84887">
        <w:t>F</w:t>
      </w:r>
      <w:r w:rsidR="00FD1D77">
        <w:t>urther,</w:t>
      </w:r>
      <w:r w:rsidR="00D84887">
        <w:t xml:space="preserve"> </w:t>
      </w:r>
      <w:r w:rsidR="00346C2E">
        <w:t>some</w:t>
      </w:r>
      <w:r w:rsidR="00FD1D77">
        <w:t xml:space="preserve"> companies </w:t>
      </w:r>
      <w:r w:rsidR="00346C2E">
        <w:t xml:space="preserve">need tools to help </w:t>
      </w:r>
      <w:r w:rsidR="00FD1D77">
        <w:t>operationalize self-service solutions for broader use,</w:t>
      </w:r>
      <w:r w:rsidR="00346C2E">
        <w:t xml:space="preserve"> as well as a platform that</w:t>
      </w:r>
      <w:r w:rsidR="00D84887">
        <w:t xml:space="preserve"> support</w:t>
      </w:r>
      <w:r w:rsidR="00346C2E">
        <w:t>s</w:t>
      </w:r>
      <w:r w:rsidR="00D84887">
        <w:t xml:space="preserve"> predictive analytic</w:t>
      </w:r>
      <w:r w:rsidR="00FD1D77">
        <w:t>al</w:t>
      </w:r>
      <w:r w:rsidR="00D84887">
        <w:t xml:space="preserve"> models </w:t>
      </w:r>
      <w:r w:rsidR="00FD1D77">
        <w:t>to</w:t>
      </w:r>
      <w:r w:rsidR="00D84887">
        <w:t xml:space="preserve"> assist</w:t>
      </w:r>
      <w:r w:rsidR="00FD1D77">
        <w:t xml:space="preserve"> with</w:t>
      </w:r>
      <w:r w:rsidR="00D84887">
        <w:t xml:space="preserve"> real-time decision</w:t>
      </w:r>
      <w:r w:rsidR="00FD1D77">
        <w:t xml:space="preserve"> </w:t>
      </w:r>
      <w:r w:rsidR="00D84887">
        <w:t>making.</w:t>
      </w:r>
    </w:p>
    <w:p w:rsidR="00A82AAA" w:rsidRDefault="00A82AAA" w:rsidP="00A82AAA">
      <w:pPr>
        <w:pStyle w:val="Heading3"/>
      </w:pPr>
      <w:r>
        <w:t xml:space="preserve">Fitting within the </w:t>
      </w:r>
      <w:r w:rsidR="00E351FC">
        <w:t>m</w:t>
      </w:r>
      <w:r>
        <w:t xml:space="preserve">odern </w:t>
      </w:r>
      <w:r w:rsidR="00E351FC">
        <w:t>d</w:t>
      </w:r>
      <w:r>
        <w:t xml:space="preserve">ata </w:t>
      </w:r>
      <w:r w:rsidR="00E351FC">
        <w:t>w</w:t>
      </w:r>
      <w:r>
        <w:t>arehouse</w:t>
      </w:r>
    </w:p>
    <w:p w:rsidR="00A82AAA" w:rsidRPr="006B4BD1" w:rsidRDefault="00A82AAA" w:rsidP="006B4BD1">
      <w:pPr>
        <w:pStyle w:val="Bodycopy"/>
      </w:pPr>
      <w:r w:rsidRPr="006B4BD1">
        <w:t xml:space="preserve">The Data </w:t>
      </w:r>
      <w:r w:rsidR="0014197D" w:rsidRPr="006B4BD1">
        <w:t>Warehouse</w:t>
      </w:r>
      <w:r w:rsidRPr="006B4BD1">
        <w:t xml:space="preserve"> Fast Track for SQL Server 2014 </w:t>
      </w:r>
      <w:r w:rsidR="000F35A3" w:rsidRPr="006B4BD1">
        <w:t xml:space="preserve">offering </w:t>
      </w:r>
      <w:r w:rsidRPr="006B4BD1">
        <w:t xml:space="preserve">is a reference architecture and set of prescriptive guides delivered through Fast Track partners, </w:t>
      </w:r>
      <w:r w:rsidR="00006336" w:rsidRPr="006B4BD1">
        <w:t xml:space="preserve">which for the previous version </w:t>
      </w:r>
      <w:r w:rsidR="003F343D" w:rsidRPr="006B4BD1">
        <w:t>included</w:t>
      </w:r>
      <w:r w:rsidRPr="006B4BD1">
        <w:t xml:space="preserve"> HP, IBM, Dell, Cisco, Hitachi</w:t>
      </w:r>
      <w:r w:rsidR="00006336" w:rsidRPr="006B4BD1">
        <w:t xml:space="preserve"> Data System</w:t>
      </w:r>
      <w:r w:rsidR="002A6B5D" w:rsidRPr="006B4BD1">
        <w:t>s</w:t>
      </w:r>
      <w:r w:rsidR="00006336" w:rsidRPr="006B4BD1">
        <w:t xml:space="preserve">, </w:t>
      </w:r>
      <w:r w:rsidRPr="006B4BD1">
        <w:t>X</w:t>
      </w:r>
      <w:r w:rsidR="00006336" w:rsidRPr="006B4BD1">
        <w:t>-</w:t>
      </w:r>
      <w:r w:rsidRPr="006B4BD1">
        <w:t>IO</w:t>
      </w:r>
      <w:r w:rsidR="00006336" w:rsidRPr="006B4BD1">
        <w:t xml:space="preserve"> Storage</w:t>
      </w:r>
      <w:r w:rsidRPr="006B4BD1">
        <w:t>, Violin</w:t>
      </w:r>
      <w:r w:rsidR="00006336" w:rsidRPr="006B4BD1">
        <w:t>-Fujitsu</w:t>
      </w:r>
      <w:r w:rsidRPr="006B4BD1">
        <w:t xml:space="preserve">, NEC, Huawei, Fujitsu–NetApp, and EMC. This single server symmetric multiprocessing (SMP) based architecture </w:t>
      </w:r>
      <w:r w:rsidR="00E825E0" w:rsidRPr="006B4BD1">
        <w:t>allows SQL Server 2014 to take</w:t>
      </w:r>
      <w:r w:rsidRPr="006B4BD1">
        <w:t xml:space="preserve"> advantage of all the cores within the server to distribute queries across the cores for greater performance. </w:t>
      </w:r>
      <w:r w:rsidR="00E825E0" w:rsidRPr="006B4BD1">
        <w:t xml:space="preserve">SQL Server 2014 can also take advantage of shared server memory to cache data into memory to improve performance by reducing read and write </w:t>
      </w:r>
      <w:r w:rsidR="006B4BD1">
        <w:t>IO</w:t>
      </w:r>
      <w:r w:rsidR="00E825E0" w:rsidRPr="006B4BD1">
        <w:t xml:space="preserve"> operations to disk. DW Fast</w:t>
      </w:r>
      <w:r w:rsidR="00FA5664">
        <w:t xml:space="preserve"> </w:t>
      </w:r>
      <w:r w:rsidR="00E825E0" w:rsidRPr="006B4BD1">
        <w:t xml:space="preserve">Track provides guidance to vendors for using solid-state memory storage devices for additional </w:t>
      </w:r>
      <w:r w:rsidR="00006336" w:rsidRPr="006B4BD1">
        <w:t>optimizing</w:t>
      </w:r>
      <w:r w:rsidR="00E825E0" w:rsidRPr="006B4BD1">
        <w:t xml:space="preserve"> of IO operations when data cannot fit completely into memory.</w:t>
      </w:r>
    </w:p>
    <w:p w:rsidR="00E825E0" w:rsidRPr="006B4BD1" w:rsidRDefault="00E825E0" w:rsidP="006B4BD1">
      <w:pPr>
        <w:pStyle w:val="Bodycopy"/>
      </w:pPr>
      <w:r w:rsidRPr="006B4BD1">
        <w:t xml:space="preserve">To integrate DW Fast Track with Hadoop, you need to use ETL processes or tools like Apache Sqoop </w:t>
      </w:r>
      <w:r w:rsidR="000F35A3" w:rsidRPr="006B4BD1">
        <w:t xml:space="preserve">to </w:t>
      </w:r>
      <w:r w:rsidRPr="006B4BD1">
        <w:t>import and export Hadoop data.</w:t>
      </w:r>
      <w:r w:rsidR="00684AE4" w:rsidRPr="006B4BD1">
        <w:t xml:space="preserve"> </w:t>
      </w:r>
    </w:p>
    <w:p w:rsidR="00E825E0" w:rsidRPr="006B4BD1" w:rsidRDefault="001C0879" w:rsidP="006B4BD1">
      <w:pPr>
        <w:pStyle w:val="Bodycopy"/>
      </w:pPr>
      <w:r w:rsidRPr="006B4BD1">
        <w:t>Since DW Fast Track is built on SQL Server 2014 Enterprise Edition, all of the data enrichment and business intelligence tools just work.</w:t>
      </w:r>
    </w:p>
    <w:p w:rsidR="000E0AD0" w:rsidRPr="000E0AD0" w:rsidRDefault="000E0AD0" w:rsidP="000E0AD0">
      <w:pPr>
        <w:pStyle w:val="Bodycopy"/>
      </w:pP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6E4584" w:rsidRPr="00B85889" w:rsidTr="000C306F">
        <w:trPr>
          <w:trHeight w:hRule="exact" w:val="3312"/>
        </w:trPr>
        <w:tc>
          <w:tcPr>
            <w:tcW w:w="3312" w:type="dxa"/>
            <w:shd w:val="clear" w:color="auto" w:fill="BB141A" w:themeFill="background2"/>
          </w:tcPr>
          <w:p w:rsidR="006E4584" w:rsidRPr="00B85889" w:rsidRDefault="009C789B" w:rsidP="000C306F">
            <w:pPr>
              <w:pStyle w:val="Heading1"/>
              <w:framePr w:wrap="auto" w:vAnchor="margin" w:hAnchor="text" w:xAlign="left" w:yAlign="inline"/>
              <w:suppressOverlap w:val="0"/>
              <w:outlineLvl w:val="0"/>
            </w:pPr>
            <w:r>
              <w:t>Improving DW Fast Track</w:t>
            </w:r>
            <w:r w:rsidR="001C0879">
              <w:t xml:space="preserve"> with SQL Server 2014</w:t>
            </w:r>
          </w:p>
        </w:tc>
      </w:tr>
    </w:tbl>
    <w:p w:rsidR="00394E58" w:rsidRDefault="009C789B" w:rsidP="001C0879">
      <w:pPr>
        <w:pStyle w:val="Bodycopy"/>
      </w:pPr>
      <w:r>
        <w:t>SQL Server 2014 introduces new features for data warehouse workloads</w:t>
      </w:r>
      <w:r w:rsidR="00D64A9A">
        <w:t>, improving on the advances made in the SQL Server 2012 release.</w:t>
      </w:r>
      <w:r>
        <w:t xml:space="preserve"> </w:t>
      </w:r>
      <w:r w:rsidR="00D64A9A">
        <w:t xml:space="preserve">These new features </w:t>
      </w:r>
      <w:r>
        <w:t>can provide greater performance, greater compression of data on disk and within memory, greater availability with online operations</w:t>
      </w:r>
      <w:r w:rsidR="00341DFE">
        <w:t>,</w:t>
      </w:r>
      <w:r>
        <w:t xml:space="preserve"> and greater control with resource governor.</w:t>
      </w:r>
      <w:r w:rsidR="006B4BD1" w:rsidRPr="006B4BD1">
        <w:t xml:space="preserve"> </w:t>
      </w:r>
      <w:r w:rsidR="006B4BD1">
        <w:t>SQL Server 2014 provides greater capabilities for the DW Fast Track reference architecture as shown in Figure 2.</w:t>
      </w:r>
    </w:p>
    <w:p w:rsidR="009C789B" w:rsidRDefault="009C789B" w:rsidP="001C0879">
      <w:pPr>
        <w:pStyle w:val="Bodycopy"/>
      </w:pPr>
      <w:r>
        <w:rPr>
          <w:noProof/>
        </w:rPr>
        <w:drawing>
          <wp:inline distT="0" distB="0" distL="0" distR="0" wp14:anchorId="74F5B5D7" wp14:editId="3C338AC6">
            <wp:extent cx="4190338" cy="1981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8719"/>
                    <a:stretch/>
                  </pic:blipFill>
                  <pic:spPr bwMode="auto">
                    <a:xfrm>
                      <a:off x="0" y="0"/>
                      <a:ext cx="4214441" cy="1993080"/>
                    </a:xfrm>
                    <a:prstGeom prst="rect">
                      <a:avLst/>
                    </a:prstGeom>
                    <a:noFill/>
                    <a:ln>
                      <a:noFill/>
                    </a:ln>
                    <a:extLst>
                      <a:ext uri="{53640926-AAD7-44D8-BBD7-CCE9431645EC}">
                        <a14:shadowObscured xmlns:a14="http://schemas.microsoft.com/office/drawing/2010/main"/>
                      </a:ext>
                    </a:extLst>
                  </pic:spPr>
                </pic:pic>
              </a:graphicData>
            </a:graphic>
          </wp:inline>
        </w:drawing>
      </w:r>
    </w:p>
    <w:p w:rsidR="006E4584" w:rsidRDefault="0004225C" w:rsidP="0004225C">
      <w:pPr>
        <w:pStyle w:val="Caption"/>
      </w:pPr>
      <w:r>
        <w:t>Figure 2</w:t>
      </w:r>
      <w:r w:rsidR="00477A4C">
        <w:t xml:space="preserve">: </w:t>
      </w:r>
      <w:r>
        <w:t>Improved performance and greater compression with In-Memory Clustered Columnstore</w:t>
      </w:r>
    </w:p>
    <w:p w:rsidR="00AE5DB5" w:rsidRDefault="00AE5DB5" w:rsidP="00A62AC6">
      <w:pPr>
        <w:pStyle w:val="Bodycopybullet"/>
        <w:numPr>
          <w:ilvl w:val="0"/>
          <w:numId w:val="0"/>
        </w:numPr>
      </w:pPr>
    </w:p>
    <w:tbl>
      <w:tblPr>
        <w:tblStyle w:val="TableGrid"/>
        <w:tblpPr w:vertAnchor="text" w:horzAnchor="page" w:tblpX="721" w:tblpY="1"/>
        <w:tblOverlap w:val="never"/>
        <w:tblW w:w="0" w:type="auto"/>
        <w:tblLayout w:type="fixed"/>
        <w:tblCellMar>
          <w:left w:w="187" w:type="dxa"/>
          <w:bottom w:w="187" w:type="dxa"/>
          <w:right w:w="187" w:type="dxa"/>
        </w:tblCellMar>
        <w:tblLook w:val="04A0" w:firstRow="1" w:lastRow="0" w:firstColumn="1" w:lastColumn="0" w:noHBand="0" w:noVBand="1"/>
      </w:tblPr>
      <w:tblGrid>
        <w:gridCol w:w="3415"/>
      </w:tblGrid>
      <w:tr w:rsidR="00FC3F70" w:rsidRPr="00F256DB" w:rsidTr="0004225C">
        <w:trPr>
          <w:trHeight w:hRule="exact" w:val="1890"/>
        </w:trPr>
        <w:tc>
          <w:tcPr>
            <w:tcW w:w="3415" w:type="dxa"/>
            <w:shd w:val="clear" w:color="auto" w:fill="auto"/>
          </w:tcPr>
          <w:p w:rsidR="00FC3F70" w:rsidRPr="00A62AC6" w:rsidRDefault="0004225C" w:rsidP="00BE13DE">
            <w:pPr>
              <w:pStyle w:val="Heading2"/>
              <w:framePr w:wrap="auto" w:vAnchor="margin" w:hAnchor="text" w:xAlign="left" w:yAlign="inline"/>
              <w:suppressOverlap w:val="0"/>
              <w:outlineLvl w:val="1"/>
              <w:rPr>
                <w:szCs w:val="54"/>
              </w:rPr>
            </w:pPr>
            <w:r>
              <w:rPr>
                <w:szCs w:val="54"/>
              </w:rPr>
              <w:t>Clustered columnstore indexes</w:t>
            </w:r>
          </w:p>
        </w:tc>
      </w:tr>
    </w:tbl>
    <w:p w:rsidR="00311709" w:rsidRDefault="000D5496" w:rsidP="00AE5077">
      <w:pPr>
        <w:pStyle w:val="Bodycopy"/>
      </w:pPr>
      <w:r w:rsidRPr="000D5496">
        <w:t xml:space="preserve">The SQL Server </w:t>
      </w:r>
      <w:r w:rsidR="00D64A9A">
        <w:t>I</w:t>
      </w:r>
      <w:r w:rsidRPr="000D5496">
        <w:t>n-</w:t>
      </w:r>
      <w:r w:rsidR="00D64A9A">
        <w:t>M</w:t>
      </w:r>
      <w:r w:rsidRPr="000D5496">
        <w:t xml:space="preserve">emory </w:t>
      </w:r>
      <w:r w:rsidR="00D64A9A">
        <w:t>C</w:t>
      </w:r>
      <w:r w:rsidRPr="000D5496">
        <w:t xml:space="preserve">olumnstore </w:t>
      </w:r>
      <w:r w:rsidR="00F327BC">
        <w:t>i</w:t>
      </w:r>
      <w:r w:rsidRPr="000D5496">
        <w:t>ndex stores and manages data by using column-based data storage and column-based query processing.</w:t>
      </w:r>
      <w:r>
        <w:t xml:space="preserve"> </w:t>
      </w:r>
      <w:r w:rsidRPr="000D5496">
        <w:t>Columnstore indexes give high performance gains for queries that use full table scans, and are not well-suited for queries that search for a particular value</w:t>
      </w:r>
      <w:r w:rsidR="00341DFE">
        <w:t xml:space="preserve"> in the data</w:t>
      </w:r>
      <w:r w:rsidRPr="000D5496">
        <w:t>.</w:t>
      </w:r>
    </w:p>
    <w:p w:rsidR="000D5496" w:rsidRDefault="000D5496" w:rsidP="000D5496">
      <w:pPr>
        <w:pStyle w:val="Heading3"/>
      </w:pPr>
      <w:r>
        <w:t>Clustered columnstore index becomes the table</w:t>
      </w:r>
    </w:p>
    <w:p w:rsidR="000D5496" w:rsidRDefault="000D5496" w:rsidP="00AE5077">
      <w:pPr>
        <w:pStyle w:val="Bodycopy"/>
      </w:pPr>
      <w:r>
        <w:t xml:space="preserve">When you create a clustered columnstore index on a table, SQL Server transforms the physical layout of the table from rowstore to columnstore format. </w:t>
      </w:r>
      <w:r w:rsidR="002941CA">
        <w:t>You get greater compression over rowstore page compression</w:t>
      </w:r>
      <w:r w:rsidR="00341DFE">
        <w:t>.</w:t>
      </w:r>
      <w:r w:rsidR="002941CA">
        <w:t xml:space="preserve"> </w:t>
      </w:r>
      <w:r w:rsidR="00341DFE">
        <w:t>Additionally,</w:t>
      </w:r>
      <w:r w:rsidR="002941CA">
        <w:t xml:space="preserve"> you </w:t>
      </w:r>
      <w:r w:rsidR="00341DFE">
        <w:t>do not</w:t>
      </w:r>
      <w:r w:rsidR="002941CA">
        <w:t xml:space="preserve"> have an extra index on the table like you have with a non-clustered columnstore index. Here are some of the benefits you can get with clustered columnstore indexed tables</w:t>
      </w:r>
      <w:r w:rsidR="00341DFE">
        <w:t>:</w:t>
      </w:r>
    </w:p>
    <w:p w:rsidR="002941CA" w:rsidRDefault="002941CA" w:rsidP="002941CA">
      <w:pPr>
        <w:pStyle w:val="Bodycopybullet"/>
      </w:pPr>
      <w:r>
        <w:t>Columns often have similar data, which results in high compression rates. This is especially true for fact tables in a star schema.</w:t>
      </w:r>
    </w:p>
    <w:p w:rsidR="002941CA" w:rsidRDefault="002941CA" w:rsidP="002941CA">
      <w:pPr>
        <w:pStyle w:val="Bodycopybullet"/>
      </w:pPr>
      <w:r>
        <w:t>High compression rates improve query performance by using a smaller in-memory footprint. In turn, query performance can improve because SQL Server can perform more query and data operations in-memory.</w:t>
      </w:r>
    </w:p>
    <w:p w:rsidR="002941CA" w:rsidRDefault="002941CA" w:rsidP="002941CA">
      <w:pPr>
        <w:pStyle w:val="Bodycopybullet"/>
      </w:pPr>
      <w:r>
        <w:t xml:space="preserve">A new query execution mechanism called batch-mode execution has been added to SQL Server that reduces CPU usage by a large amount. Batch-mode execution is closely integrated with, and optimized around, the columnstore storage format. Batch-mode execution is sometimes known as </w:t>
      </w:r>
      <w:r w:rsidRPr="002079BF">
        <w:rPr>
          <w:i/>
        </w:rPr>
        <w:t xml:space="preserve">vector-based </w:t>
      </w:r>
      <w:r>
        <w:t xml:space="preserve">or </w:t>
      </w:r>
      <w:r w:rsidRPr="002079BF">
        <w:rPr>
          <w:i/>
        </w:rPr>
        <w:t>vectorized</w:t>
      </w:r>
      <w:r>
        <w:t xml:space="preserve"> </w:t>
      </w:r>
      <w:r w:rsidRPr="002079BF">
        <w:rPr>
          <w:i/>
        </w:rPr>
        <w:t>execution</w:t>
      </w:r>
      <w:r>
        <w:t xml:space="preserve">. </w:t>
      </w:r>
    </w:p>
    <w:p w:rsidR="002941CA" w:rsidRDefault="002941CA" w:rsidP="002941CA">
      <w:pPr>
        <w:pStyle w:val="Bodycopybullet"/>
      </w:pPr>
      <w:r>
        <w:t>Queries often select only a few columns from a table, which reduces total I/O from the physical media.</w:t>
      </w:r>
    </w:p>
    <w:p w:rsidR="002941CA" w:rsidRDefault="009D2449" w:rsidP="002941CA">
      <w:pPr>
        <w:pStyle w:val="Bodycopybullet"/>
        <w:numPr>
          <w:ilvl w:val="0"/>
          <w:numId w:val="0"/>
        </w:numPr>
      </w:pPr>
      <w:r>
        <w:t>SQL Server provides even greater compression for less frequently accessed partitions with the COLUMNSTORE_ARCHIVE feature</w:t>
      </w:r>
      <w:r w:rsidR="00BF6044">
        <w:t>.</w:t>
      </w:r>
      <w:r>
        <w:t xml:space="preserve"> </w:t>
      </w:r>
      <w:r w:rsidR="00BF6044">
        <w:t xml:space="preserve">It comes </w:t>
      </w:r>
      <w:r>
        <w:t>with a trade-off of slower query performance</w:t>
      </w:r>
      <w:r w:rsidR="00F4696B">
        <w:t xml:space="preserve"> for an additional 37</w:t>
      </w:r>
      <w:r w:rsidR="00341DFE">
        <w:t xml:space="preserve"> percent</w:t>
      </w:r>
      <w:r w:rsidR="00F4696B">
        <w:t xml:space="preserve"> to 66</w:t>
      </w:r>
      <w:r w:rsidR="00341DFE">
        <w:t xml:space="preserve"> percent</w:t>
      </w:r>
      <w:r w:rsidR="00F4696B">
        <w:t xml:space="preserve"> reduction depending on the data.</w:t>
      </w:r>
      <w:r w:rsidR="00937C88">
        <w:rPr>
          <w:rStyle w:val="FootnoteReference"/>
        </w:rPr>
        <w:footnoteReference w:id="2"/>
      </w:r>
      <w:r w:rsidR="00FA21A1">
        <w:t xml:space="preserve"> </w:t>
      </w:r>
      <w:r w:rsidR="002941CA">
        <w:t>Nasdaq</w:t>
      </w:r>
      <w:r w:rsidR="00FA21A1">
        <w:t>, as the case study below reveals,</w:t>
      </w:r>
      <w:r w:rsidR="002941CA">
        <w:t xml:space="preserve"> </w:t>
      </w:r>
      <w:r w:rsidR="003D7B0D">
        <w:t>was able to take advantage of clustered columnstore indexes.</w:t>
      </w:r>
      <w:r w:rsidR="005B1418">
        <w:t xml:space="preserve"> </w:t>
      </w:r>
      <w:r w:rsidR="004D28B2">
        <w:t xml:space="preserve"> </w:t>
      </w:r>
    </w:p>
    <w:p w:rsidR="003D7B0D" w:rsidRPr="003C5EA8" w:rsidRDefault="003D7B0D" w:rsidP="00245329">
      <w:pPr>
        <w:pStyle w:val="Pullquotecopy"/>
        <w:keepNext/>
        <w:pBdr>
          <w:top w:val="single" w:sz="18" w:space="15" w:color="BB141A" w:themeColor="background2"/>
        </w:pBdr>
        <w:spacing w:after="160" w:line="270" w:lineRule="atLeast"/>
        <w:ind w:left="-1987"/>
        <w:rPr>
          <w:rFonts w:ascii="Segoe UI Semibold" w:hAnsi="Segoe UI Semibold" w:cs="Segoe UI Semibold"/>
          <w:sz w:val="24"/>
          <w:szCs w:val="24"/>
        </w:rPr>
      </w:pPr>
      <w:r w:rsidRPr="003C5EA8">
        <w:rPr>
          <w:rFonts w:ascii="Segoe UI Semibold" w:hAnsi="Segoe UI Semibold" w:cs="Segoe UI Semibold"/>
          <w:sz w:val="24"/>
          <w:szCs w:val="24"/>
        </w:rPr>
        <w:t xml:space="preserve">Case Study: </w:t>
      </w:r>
      <w:r>
        <w:rPr>
          <w:rFonts w:ascii="Segoe UI Semibold" w:hAnsi="Segoe UI Semibold" w:cs="Segoe UI Semibold"/>
          <w:sz w:val="24"/>
          <w:szCs w:val="24"/>
        </w:rPr>
        <w:t>NASDAQ OMX</w:t>
      </w:r>
    </w:p>
    <w:p w:rsidR="003D7B0D" w:rsidRPr="0098346A" w:rsidRDefault="003D7B0D" w:rsidP="00245329">
      <w:pPr>
        <w:pStyle w:val="Pullquotecopy"/>
        <w:keepNext/>
        <w:pBdr>
          <w:top w:val="single" w:sz="18" w:space="15" w:color="BB141A" w:themeColor="background2"/>
        </w:pBdr>
        <w:spacing w:after="160" w:line="270" w:lineRule="atLeast"/>
        <w:ind w:left="-1987"/>
        <w:rPr>
          <w:rFonts w:asciiTheme="minorHAnsi" w:hAnsiTheme="minorHAnsi" w:cstheme="minorHAnsi"/>
          <w:iCs/>
          <w:sz w:val="20"/>
        </w:rPr>
      </w:pPr>
      <w:r w:rsidRPr="003D7B0D">
        <w:rPr>
          <w:rFonts w:asciiTheme="minorHAnsi" w:hAnsiTheme="minorHAnsi" w:cstheme="minorHAnsi"/>
          <w:iCs/>
          <w:sz w:val="20"/>
        </w:rPr>
        <w:t>NASDAQ OMX Group Reduces 2 PB of Data to 500 TB with Microsoft In-Memory Technology</w:t>
      </w:r>
      <w:r w:rsidRPr="0098346A">
        <w:rPr>
          <w:rFonts w:asciiTheme="minorHAnsi" w:hAnsiTheme="minorHAnsi" w:cstheme="minorHAnsi"/>
          <w:iCs/>
          <w:sz w:val="20"/>
        </w:rPr>
        <w:t>.</w:t>
      </w:r>
      <w:r w:rsidR="00B747E6">
        <w:rPr>
          <w:rStyle w:val="FootnoteReference"/>
          <w:rFonts w:asciiTheme="minorHAnsi" w:hAnsiTheme="minorHAnsi" w:cstheme="minorHAnsi"/>
          <w:iCs/>
          <w:sz w:val="20"/>
        </w:rPr>
        <w:footnoteReference w:id="3"/>
      </w:r>
      <w:r w:rsidRPr="0098346A">
        <w:rPr>
          <w:rFonts w:asciiTheme="minorHAnsi" w:hAnsiTheme="minorHAnsi" w:cstheme="minorHAnsi"/>
          <w:iCs/>
          <w:sz w:val="20"/>
        </w:rPr>
        <w:t xml:space="preserve"> </w:t>
      </w:r>
    </w:p>
    <w:p w:rsidR="003D7B0D" w:rsidRPr="001F36B8" w:rsidRDefault="003D7B0D" w:rsidP="00341DFE">
      <w:pPr>
        <w:pStyle w:val="Pullquotecopy"/>
        <w:keepNext/>
        <w:pBdr>
          <w:top w:val="single" w:sz="18" w:space="15" w:color="BB141A" w:themeColor="background2"/>
        </w:pBdr>
        <w:spacing w:line="270" w:lineRule="atLeast"/>
        <w:ind w:left="-1987"/>
        <w:rPr>
          <w:i/>
          <w:color w:val="505050" w:themeColor="text1"/>
          <w:sz w:val="20"/>
        </w:rPr>
      </w:pPr>
      <w:r w:rsidRPr="00004971">
        <w:rPr>
          <w:i/>
          <w:color w:val="505050" w:themeColor="text1"/>
          <w:sz w:val="20"/>
        </w:rPr>
        <w:t>“</w:t>
      </w:r>
      <w:r w:rsidR="00245329" w:rsidRPr="00245329">
        <w:rPr>
          <w:i/>
          <w:color w:val="505050" w:themeColor="text1"/>
          <w:sz w:val="20"/>
        </w:rPr>
        <w:t>The database itself has a smaller storage footprint on disk due to in-memory columnstore, and encrypted backups reduce the need for swap space on disk used by third-party tools to encrypt data before it’s moved to storage</w:t>
      </w:r>
      <w:r w:rsidR="000E0AD0">
        <w:rPr>
          <w:i/>
          <w:color w:val="505050" w:themeColor="text1"/>
          <w:sz w:val="20"/>
        </w:rPr>
        <w:t>…</w:t>
      </w:r>
      <w:r w:rsidRPr="003D7B0D">
        <w:rPr>
          <w:i/>
          <w:color w:val="505050" w:themeColor="text1"/>
          <w:sz w:val="20"/>
        </w:rPr>
        <w:t>SQL Server 2014 is a game changer for us. Its in-memory columnstore, advanced statistics, and cardinality estimation are the tools we need to manage our very large databases for the long term.</w:t>
      </w:r>
      <w:r w:rsidRPr="00004971">
        <w:rPr>
          <w:i/>
          <w:color w:val="505050" w:themeColor="text1"/>
          <w:sz w:val="20"/>
        </w:rPr>
        <w:t>”</w:t>
      </w:r>
      <w:r>
        <w:rPr>
          <w:i/>
          <w:color w:val="505050" w:themeColor="text1"/>
          <w:sz w:val="20"/>
        </w:rPr>
        <w:t xml:space="preserve"> – </w:t>
      </w:r>
      <w:r w:rsidRPr="003D7B0D">
        <w:rPr>
          <w:i/>
          <w:color w:val="505050" w:themeColor="text1"/>
          <w:sz w:val="20"/>
        </w:rPr>
        <w:t>Stanley Orlowski</w:t>
      </w:r>
      <w:r w:rsidR="00341DFE">
        <w:rPr>
          <w:i/>
          <w:color w:val="505050" w:themeColor="text1"/>
          <w:sz w:val="20"/>
        </w:rPr>
        <w:t xml:space="preserve">, </w:t>
      </w:r>
      <w:r w:rsidRPr="003D7B0D">
        <w:rPr>
          <w:i/>
          <w:color w:val="505050" w:themeColor="text1"/>
          <w:sz w:val="20"/>
        </w:rPr>
        <w:t>Director of Database Structures</w:t>
      </w:r>
      <w:r w:rsidR="000E0AD0">
        <w:rPr>
          <w:i/>
          <w:color w:val="505050" w:themeColor="text1"/>
          <w:sz w:val="20"/>
        </w:rPr>
        <w:t>,</w:t>
      </w:r>
      <w:r w:rsidRPr="003D7B0D">
        <w:rPr>
          <w:i/>
          <w:color w:val="505050" w:themeColor="text1"/>
          <w:sz w:val="20"/>
        </w:rPr>
        <w:t xml:space="preserve"> NASDAQ OMX</w:t>
      </w:r>
    </w:p>
    <w:p w:rsidR="003D7B0D" w:rsidRPr="006168D4" w:rsidRDefault="003D7B0D" w:rsidP="006168D4">
      <w:pPr>
        <w:pStyle w:val="Bodycopy"/>
      </w:pPr>
    </w:p>
    <w:p w:rsidR="00AE5DB5" w:rsidRDefault="00AE5DB5" w:rsidP="007F5F22">
      <w:pPr>
        <w:pStyle w:val="Heading3"/>
      </w:pPr>
      <w:r>
        <w:t>In-</w:t>
      </w:r>
      <w:r w:rsidR="001302D5">
        <w:t>M</w:t>
      </w:r>
      <w:r>
        <w:t xml:space="preserve">emory </w:t>
      </w:r>
      <w:r w:rsidR="00DB53C8">
        <w:t>C</w:t>
      </w:r>
      <w:r w:rsidR="001302D5">
        <w:t xml:space="preserve">olumnstore </w:t>
      </w:r>
      <w:r w:rsidR="007F5F22">
        <w:t>p</w:t>
      </w:r>
      <w:r w:rsidRPr="007F5F22">
        <w:t>erformance</w:t>
      </w:r>
      <w:r>
        <w:t xml:space="preserve"> </w:t>
      </w:r>
    </w:p>
    <w:p w:rsidR="00C82DC1" w:rsidRDefault="00FA21A1" w:rsidP="0050531A">
      <w:pPr>
        <w:pStyle w:val="Bodycopy"/>
      </w:pPr>
      <w:r>
        <w:t xml:space="preserve">In a </w:t>
      </w:r>
      <w:r w:rsidR="001302D5">
        <w:t>traditional data warehouse</w:t>
      </w:r>
      <w:r>
        <w:t>, data is</w:t>
      </w:r>
      <w:r w:rsidR="001302D5">
        <w:t xml:space="preserve"> stored in records or rows</w:t>
      </w:r>
      <w:r w:rsidR="00010464">
        <w:t>tores</w:t>
      </w:r>
      <w:r w:rsidR="00B16A0C">
        <w:t>.</w:t>
      </w:r>
      <w:r w:rsidR="00C82DC1">
        <w:t xml:space="preserve"> </w:t>
      </w:r>
      <w:r w:rsidR="00010464">
        <w:t>However, r</w:t>
      </w:r>
      <w:r w:rsidR="00B16A0C">
        <w:t>owstore</w:t>
      </w:r>
      <w:r w:rsidR="00C82DC1">
        <w:t>s</w:t>
      </w:r>
      <w:r w:rsidR="001302D5">
        <w:t xml:space="preserve"> </w:t>
      </w:r>
      <w:r w:rsidR="00C82DC1">
        <w:t>are</w:t>
      </w:r>
      <w:r w:rsidR="001302D5">
        <w:t xml:space="preserve"> not optimal for many </w:t>
      </w:r>
      <w:r w:rsidR="00C82DC1">
        <w:t xml:space="preserve">star schema-based </w:t>
      </w:r>
      <w:r w:rsidR="001302D5">
        <w:t>queries</w:t>
      </w:r>
      <w:r w:rsidR="00C82DC1">
        <w:t>. Columnstore technology on fact tables within a star schema improves query performance for large tables by reducing the amount of data that needs to be processed through I/O.</w:t>
      </w:r>
      <w:r w:rsidR="00010464">
        <w:t xml:space="preserve"> </w:t>
      </w:r>
    </w:p>
    <w:p w:rsidR="00C82DC1" w:rsidRDefault="0026164D" w:rsidP="00C82DC1">
      <w:pPr>
        <w:pStyle w:val="Bodycopy"/>
      </w:pPr>
      <w:r>
        <w:t>In</w:t>
      </w:r>
      <w:r w:rsidR="001302D5">
        <w:t xml:space="preserve">-Memory Columnstore changes the primary storage engine to an updateable </w:t>
      </w:r>
      <w:r w:rsidR="00C82DC1">
        <w:t xml:space="preserve">and indexed in-memory </w:t>
      </w:r>
      <w:r w:rsidR="001302D5">
        <w:t>columnar format, which groups</w:t>
      </w:r>
      <w:r w:rsidR="00C82DC1">
        <w:t xml:space="preserve">, stores, and </w:t>
      </w:r>
      <w:r w:rsidR="001302D5">
        <w:t>indexes data in compressed column segments</w:t>
      </w:r>
      <w:r w:rsidR="001F36B8">
        <w:t>.</w:t>
      </w:r>
      <w:r w:rsidR="001302D5">
        <w:t xml:space="preserve"> </w:t>
      </w:r>
      <w:r w:rsidR="00C82DC1">
        <w:t xml:space="preserve">In-Memory Columnstore improves query performance over traditional data warehouses because only the columns needed for the query must be read. Also, columns are heavily compressed, reducing the number of bytes to be read or moved. In addition, In-Memory Columnstore maximizes the use of the CPU by accessing data held in-memory when processing a query. </w:t>
      </w:r>
    </w:p>
    <w:p w:rsidR="00C82DC1" w:rsidRDefault="00C82DC1" w:rsidP="00BF06B5">
      <w:pPr>
        <w:pStyle w:val="Bodycopy"/>
      </w:pPr>
      <w:r>
        <w:t xml:space="preserve">Combined, these techniques result in compression (up to 15 times), as well as performance gains (up to </w:t>
      </w:r>
      <w:r w:rsidR="00245329">
        <w:t>10</w:t>
      </w:r>
      <w:r>
        <w:t xml:space="preserve"> times). In-Memory Columnstore can improve query performance</w:t>
      </w:r>
      <w:r w:rsidR="00FA21A1">
        <w:t>,</w:t>
      </w:r>
      <w:r>
        <w:t xml:space="preserve"> even based on existing hardware investments</w:t>
      </w:r>
      <w:r w:rsidR="00E205B1">
        <w:t xml:space="preserve"> as discovered by Nexon</w:t>
      </w:r>
      <w:r w:rsidR="00245329">
        <w:t>.</w:t>
      </w:r>
    </w:p>
    <w:p w:rsidR="0057265E" w:rsidRPr="003C5EA8" w:rsidRDefault="001F36B8" w:rsidP="00C16E5E">
      <w:pPr>
        <w:pStyle w:val="Pullquotecopy"/>
        <w:keepNext/>
        <w:pBdr>
          <w:top w:val="single" w:sz="18" w:space="15" w:color="BB141A" w:themeColor="background2"/>
        </w:pBdr>
        <w:spacing w:after="160" w:line="270" w:lineRule="atLeast"/>
        <w:ind w:left="-1980"/>
        <w:rPr>
          <w:rFonts w:ascii="Segoe UI Semibold" w:hAnsi="Segoe UI Semibold" w:cs="Segoe UI Semibold"/>
          <w:sz w:val="24"/>
          <w:szCs w:val="24"/>
        </w:rPr>
      </w:pPr>
      <w:bookmarkStart w:id="2" w:name="BankOfNagoya"/>
      <w:bookmarkEnd w:id="2"/>
      <w:r w:rsidRPr="003C5EA8">
        <w:rPr>
          <w:rFonts w:ascii="Segoe UI Semibold" w:hAnsi="Segoe UI Semibold" w:cs="Segoe UI Semibold"/>
          <w:sz w:val="24"/>
          <w:szCs w:val="24"/>
        </w:rPr>
        <w:t xml:space="preserve">Case Study: </w:t>
      </w:r>
      <w:r w:rsidR="00E205B1">
        <w:rPr>
          <w:rFonts w:ascii="Segoe UI Semibold" w:hAnsi="Segoe UI Semibold" w:cs="Segoe UI Semibold"/>
          <w:sz w:val="24"/>
          <w:szCs w:val="24"/>
        </w:rPr>
        <w:t>Nexon</w:t>
      </w:r>
    </w:p>
    <w:p w:rsidR="001F36B8" w:rsidRPr="0098346A" w:rsidRDefault="00E205B1" w:rsidP="00C16E5E">
      <w:pPr>
        <w:pStyle w:val="Pullquotecopy"/>
        <w:keepNext/>
        <w:pBdr>
          <w:top w:val="single" w:sz="18" w:space="15" w:color="BB141A" w:themeColor="background2"/>
        </w:pBdr>
        <w:spacing w:after="160" w:line="270" w:lineRule="atLeast"/>
        <w:ind w:left="-1980"/>
        <w:rPr>
          <w:rFonts w:asciiTheme="minorHAnsi" w:hAnsiTheme="minorHAnsi" w:cstheme="minorHAnsi"/>
          <w:iCs/>
          <w:sz w:val="20"/>
        </w:rPr>
      </w:pPr>
      <w:r>
        <w:rPr>
          <w:rFonts w:asciiTheme="minorHAnsi" w:hAnsiTheme="minorHAnsi" w:cstheme="minorHAnsi"/>
          <w:iCs/>
          <w:sz w:val="20"/>
        </w:rPr>
        <w:t xml:space="preserve">Online gaming company Nexon found that clustered columnstore indexes improved query performance </w:t>
      </w:r>
      <w:r w:rsidR="000E0AD0">
        <w:rPr>
          <w:rFonts w:asciiTheme="minorHAnsi" w:hAnsiTheme="minorHAnsi" w:cstheme="minorHAnsi"/>
          <w:iCs/>
          <w:sz w:val="20"/>
        </w:rPr>
        <w:t xml:space="preserve">for large fact tables </w:t>
      </w:r>
      <w:r>
        <w:rPr>
          <w:rFonts w:asciiTheme="minorHAnsi" w:hAnsiTheme="minorHAnsi" w:cstheme="minorHAnsi"/>
          <w:iCs/>
          <w:sz w:val="20"/>
        </w:rPr>
        <w:t>from 4 minutes to 9 seconds.</w:t>
      </w:r>
      <w:r w:rsidR="00B747E6">
        <w:rPr>
          <w:rStyle w:val="FootnoteReference"/>
          <w:rFonts w:asciiTheme="minorHAnsi" w:hAnsiTheme="minorHAnsi" w:cstheme="minorHAnsi"/>
          <w:iCs/>
          <w:sz w:val="20"/>
        </w:rPr>
        <w:footnoteReference w:id="4"/>
      </w:r>
    </w:p>
    <w:p w:rsidR="001F36B8" w:rsidRPr="001F36B8" w:rsidRDefault="00E205B1" w:rsidP="00C16E5E">
      <w:pPr>
        <w:pStyle w:val="Pullquotecopy"/>
        <w:keepNext/>
        <w:pBdr>
          <w:top w:val="single" w:sz="18" w:space="15" w:color="BB141A" w:themeColor="background2"/>
        </w:pBdr>
        <w:spacing w:line="270" w:lineRule="atLeast"/>
        <w:ind w:left="-1980"/>
        <w:rPr>
          <w:i/>
          <w:color w:val="505050" w:themeColor="text1"/>
          <w:sz w:val="20"/>
        </w:rPr>
      </w:pPr>
      <w:r w:rsidRPr="00E205B1">
        <w:rPr>
          <w:i/>
          <w:color w:val="505050" w:themeColor="text1"/>
          <w:sz w:val="20"/>
        </w:rPr>
        <w:t xml:space="preserve">“Data analysts change query patterns in this way and that, and work with all columns because they want to size up all the possibilities from various angles and reason out the right solution, rather than just sticking within narrow confines. </w:t>
      </w:r>
      <w:r>
        <w:rPr>
          <w:i/>
          <w:color w:val="505050" w:themeColor="text1"/>
          <w:sz w:val="20"/>
        </w:rPr>
        <w:t xml:space="preserve">Clustered </w:t>
      </w:r>
      <w:r w:rsidR="00C16E5E">
        <w:rPr>
          <w:i/>
          <w:color w:val="505050" w:themeColor="text1"/>
          <w:sz w:val="20"/>
        </w:rPr>
        <w:t>columnstore</w:t>
      </w:r>
      <w:r>
        <w:rPr>
          <w:i/>
          <w:color w:val="505050" w:themeColor="text1"/>
          <w:sz w:val="20"/>
        </w:rPr>
        <w:t xml:space="preserve"> indexes (</w:t>
      </w:r>
      <w:r w:rsidRPr="00E205B1">
        <w:rPr>
          <w:i/>
          <w:color w:val="505050" w:themeColor="text1"/>
          <w:sz w:val="20"/>
        </w:rPr>
        <w:t>CCI</w:t>
      </w:r>
      <w:r>
        <w:rPr>
          <w:i/>
          <w:color w:val="505050" w:themeColor="text1"/>
          <w:sz w:val="20"/>
        </w:rPr>
        <w:t>)</w:t>
      </w:r>
      <w:r w:rsidRPr="00E205B1">
        <w:rPr>
          <w:i/>
          <w:color w:val="505050" w:themeColor="text1"/>
          <w:sz w:val="20"/>
        </w:rPr>
        <w:t xml:space="preserve"> enables them to look into all columns and find the answer in a faster manner. CCI will thus help data analysts work easier and faster without having to contact DB managers about the problem of slow queries and/or tune queries when handling large volumes of data.</w:t>
      </w:r>
      <w:r w:rsidR="000E0AD0">
        <w:rPr>
          <w:i/>
          <w:color w:val="505050" w:themeColor="text1"/>
          <w:sz w:val="20"/>
        </w:rPr>
        <w:t>”</w:t>
      </w:r>
      <w:r w:rsidR="000E0AD0" w:rsidRPr="000E0AD0">
        <w:rPr>
          <w:i/>
          <w:color w:val="505050" w:themeColor="text1"/>
          <w:sz w:val="20"/>
        </w:rPr>
        <w:t xml:space="preserve"> </w:t>
      </w:r>
      <w:r w:rsidR="000E0AD0">
        <w:rPr>
          <w:i/>
          <w:color w:val="505050" w:themeColor="text1"/>
          <w:sz w:val="20"/>
        </w:rPr>
        <w:t>– NEXON member</w:t>
      </w:r>
    </w:p>
    <w:p w:rsidR="0052723A" w:rsidRPr="006168D4" w:rsidRDefault="0052723A" w:rsidP="006168D4">
      <w:pPr>
        <w:pStyle w:val="Bodycopy"/>
      </w:pPr>
    </w:p>
    <w:p w:rsidR="00211D92" w:rsidRDefault="00211D92" w:rsidP="00211D92">
      <w:pPr>
        <w:pStyle w:val="Bodycopy"/>
      </w:pPr>
      <w:r w:rsidRPr="00201FBC">
        <w:t xml:space="preserve">SQL Server 2014 delivers exceptional in-memory performance as recent TPC-H </w:t>
      </w:r>
      <w:r w:rsidR="00113C4D" w:rsidRPr="00201FBC">
        <w:t xml:space="preserve">10 </w:t>
      </w:r>
      <w:r w:rsidR="00201FBC">
        <w:t>t</w:t>
      </w:r>
      <w:r w:rsidR="00113C4D" w:rsidRPr="00201FBC">
        <w:t xml:space="preserve">erabyte and 3 </w:t>
      </w:r>
      <w:r w:rsidR="00201FBC">
        <w:t>t</w:t>
      </w:r>
      <w:r w:rsidR="00113C4D" w:rsidRPr="00201FBC">
        <w:t>erabyte benchmarks</w:t>
      </w:r>
      <w:r w:rsidRPr="00201FBC">
        <w:t xml:space="preserve"> reveal. For example, the combination of SQL Server 2014 </w:t>
      </w:r>
      <w:r w:rsidR="00DC55CC" w:rsidRPr="00201FBC">
        <w:t xml:space="preserve">using clustered columnstore indexes </w:t>
      </w:r>
      <w:r w:rsidRPr="00201FBC">
        <w:t xml:space="preserve">and Windows Server 2012 R2 Standard Edition running on an HP ProLiant DL580 Gen8 Server has achieved record-breaking results in data warehousing price and performance. At 10 terabytes, the Microsoft and HP configuration achieved a world record non-clustered performance of 404,005 </w:t>
      </w:r>
      <w:r w:rsidR="008850D9" w:rsidRPr="00201FBC">
        <w:t xml:space="preserve">query-per-hour </w:t>
      </w:r>
      <w:r w:rsidRPr="00201FBC">
        <w:t xml:space="preserve">(QphH), with the SQL Server implementation soaring past the previous price/performance record to reach </w:t>
      </w:r>
      <w:r w:rsidR="008850D9" w:rsidRPr="00201FBC">
        <w:t>$2.34 USD dollars per QphH</w:t>
      </w:r>
      <w:r w:rsidRPr="00201FBC">
        <w:t>. At 3 terabytes, it achieved a world record non-clustered performance of 461,837</w:t>
      </w:r>
      <w:r w:rsidR="008850D9" w:rsidRPr="00201FBC">
        <w:t xml:space="preserve"> QphH</w:t>
      </w:r>
      <w:r w:rsidRPr="00201FBC">
        <w:t>, with the SQL Server implementation reach</w:t>
      </w:r>
      <w:r w:rsidR="008850D9" w:rsidRPr="00201FBC">
        <w:t>ing</w:t>
      </w:r>
      <w:r w:rsidRPr="00201FBC">
        <w:t xml:space="preserve"> $2.0</w:t>
      </w:r>
      <w:r w:rsidR="008850D9" w:rsidRPr="00201FBC">
        <w:t>4 USD d</w:t>
      </w:r>
      <w:r w:rsidRPr="00201FBC">
        <w:t>ollar</w:t>
      </w:r>
      <w:r w:rsidR="008850D9" w:rsidRPr="00201FBC">
        <w:t>s per QphH</w:t>
      </w:r>
      <w:r w:rsidRPr="00781C30">
        <w:t>.</w:t>
      </w:r>
      <w:r>
        <w:rPr>
          <w:rStyle w:val="FootnoteReference"/>
        </w:rPr>
        <w:footnoteReference w:id="5"/>
      </w:r>
    </w:p>
    <w:p w:rsidR="00C527F0" w:rsidRDefault="00C16E5E" w:rsidP="0014197D">
      <w:pPr>
        <w:pStyle w:val="Heading3"/>
      </w:pPr>
      <w:r>
        <w:t>Updateable tables with clustered columnstore index</w:t>
      </w:r>
      <w:r w:rsidRPr="00EA78A6">
        <w:t xml:space="preserve"> </w:t>
      </w:r>
    </w:p>
    <w:p w:rsidR="00532ACA" w:rsidRDefault="00532ACA" w:rsidP="00532ACA">
      <w:pPr>
        <w:pStyle w:val="Bodycopy"/>
      </w:pPr>
      <w:r>
        <w:t>SQL Server 2014 improves the non-clustered columnstore technology introduced with SQL Server 201</w:t>
      </w:r>
      <w:r w:rsidR="00A3577D">
        <w:t>2</w:t>
      </w:r>
      <w:r>
        <w:t xml:space="preserve"> by enabling insert, update</w:t>
      </w:r>
      <w:r w:rsidR="00BF6044">
        <w:t>,</w:t>
      </w:r>
      <w:r>
        <w:t xml:space="preserve"> and delete </w:t>
      </w:r>
      <w:r w:rsidRPr="00616955">
        <w:t xml:space="preserve">operations against a table with a clustered columnstore index. To improve performance of update actions, SQL Server 2014 </w:t>
      </w:r>
      <w:r w:rsidR="001D0946" w:rsidRPr="00616955">
        <w:t>implements</w:t>
      </w:r>
      <w:r w:rsidRPr="00616955">
        <w:t xml:space="preserve"> a deltastore </w:t>
      </w:r>
      <w:r w:rsidR="001D0946" w:rsidRPr="00616955">
        <w:t>architecture that uses traditional temporary B-tree rowstore objects. Once the deltastore is ready for insert, SQL Server periodically processes the deltastore</w:t>
      </w:r>
      <w:r w:rsidR="008D7B41">
        <w:t>s</w:t>
      </w:r>
      <w:r w:rsidR="001D0946" w:rsidRPr="00616955">
        <w:t xml:space="preserve"> in the background and converts them into columnar storage format. When queries are made against the table, SQL Server automatically performs a union query of the columnstore table with any unprocessed deltastores on the table.</w:t>
      </w:r>
    </w:p>
    <w:p w:rsidR="001D0946" w:rsidRPr="00532ACA" w:rsidRDefault="001D0946" w:rsidP="00532ACA">
      <w:pPr>
        <w:pStyle w:val="Bodycopy"/>
      </w:pPr>
      <w:r>
        <w:t>Bulk insert operations that process between 102,400 and 1,048,576 rows</w:t>
      </w:r>
      <w:r w:rsidR="009D2449">
        <w:t xml:space="preserve"> are loaded directly into the columnstore table. For more information on how SQL Server inserts, updates, and delete</w:t>
      </w:r>
      <w:r w:rsidR="00925FB8">
        <w:t>s</w:t>
      </w:r>
      <w:r w:rsidR="009D2449">
        <w:t xml:space="preserve"> records, see the help topic </w:t>
      </w:r>
      <w:hyperlink r:id="rId16" w:history="1">
        <w:r w:rsidR="009D2449" w:rsidRPr="009D2449">
          <w:rPr>
            <w:rStyle w:val="Hyperlink"/>
          </w:rPr>
          <w:t>Using Clustered Columnstore Indexes</w:t>
        </w:r>
      </w:hyperlink>
      <w:r w:rsidR="009D2449">
        <w:t>.</w:t>
      </w:r>
    </w:p>
    <w:p w:rsidR="0050531A" w:rsidRPr="00192A22" w:rsidRDefault="0050531A" w:rsidP="00C527F0">
      <w:pPr>
        <w:pStyle w:val="Bodycopy"/>
      </w:pPr>
    </w:p>
    <w:tbl>
      <w:tblPr>
        <w:tblStyle w:val="TableGrid"/>
        <w:tblpPr w:vertAnchor="text" w:horzAnchor="page" w:tblpX="721" w:tblpY="1"/>
        <w:tblOverlap w:val="never"/>
        <w:tblW w:w="0" w:type="auto"/>
        <w:tblLayout w:type="fixed"/>
        <w:tblCellMar>
          <w:left w:w="187" w:type="dxa"/>
          <w:bottom w:w="187" w:type="dxa"/>
          <w:right w:w="187" w:type="dxa"/>
        </w:tblCellMar>
        <w:tblLook w:val="04A0" w:firstRow="1" w:lastRow="0" w:firstColumn="1" w:lastColumn="0" w:noHBand="0" w:noVBand="1"/>
      </w:tblPr>
      <w:tblGrid>
        <w:gridCol w:w="3385"/>
      </w:tblGrid>
      <w:tr w:rsidR="008E4D56" w:rsidRPr="00F256DB" w:rsidTr="0014197D">
        <w:trPr>
          <w:trHeight w:hRule="exact" w:val="3060"/>
        </w:trPr>
        <w:tc>
          <w:tcPr>
            <w:tcW w:w="3385" w:type="dxa"/>
            <w:shd w:val="clear" w:color="auto" w:fill="auto"/>
          </w:tcPr>
          <w:p w:rsidR="008E4D56" w:rsidRPr="003F080B" w:rsidRDefault="0014197D" w:rsidP="00532ACA">
            <w:pPr>
              <w:pStyle w:val="Heading2"/>
              <w:framePr w:wrap="auto" w:vAnchor="margin" w:hAnchor="text" w:xAlign="left" w:yAlign="inline"/>
              <w:suppressOverlap w:val="0"/>
              <w:outlineLvl w:val="1"/>
              <w:rPr>
                <w:szCs w:val="54"/>
              </w:rPr>
            </w:pPr>
            <w:r>
              <w:rPr>
                <w:szCs w:val="54"/>
              </w:rPr>
              <w:t xml:space="preserve">Additional SQL Server 2014 </w:t>
            </w:r>
            <w:r w:rsidR="00532ACA">
              <w:rPr>
                <w:szCs w:val="54"/>
              </w:rPr>
              <w:t>advantages</w:t>
            </w:r>
          </w:p>
        </w:tc>
      </w:tr>
    </w:tbl>
    <w:p w:rsidR="009D2449" w:rsidRDefault="009D2449" w:rsidP="006C7258">
      <w:pPr>
        <w:pStyle w:val="Bodycopy"/>
      </w:pPr>
      <w:r>
        <w:t xml:space="preserve">There are additional enhancements in SQL Server 2014 that can improve the performance and the availability of your data warehouse workloads. </w:t>
      </w:r>
    </w:p>
    <w:p w:rsidR="00F4696B" w:rsidRDefault="00F4696B" w:rsidP="00F4696B">
      <w:pPr>
        <w:pStyle w:val="Heading3"/>
      </w:pPr>
      <w:r>
        <w:t>Query processor cardinality estimation updates</w:t>
      </w:r>
    </w:p>
    <w:p w:rsidR="00F4696B" w:rsidRDefault="00F4696B" w:rsidP="00F4696B">
      <w:pPr>
        <w:pStyle w:val="Bodycopy"/>
      </w:pPr>
      <w:r>
        <w:t>T</w:t>
      </w:r>
      <w:r w:rsidRPr="00F4696B">
        <w:t xml:space="preserve">he cardinality estimation logic, called the </w:t>
      </w:r>
      <w:r w:rsidRPr="002079BF">
        <w:rPr>
          <w:i/>
        </w:rPr>
        <w:t>cardinality estimator</w:t>
      </w:r>
      <w:r w:rsidRPr="00F4696B">
        <w:t xml:space="preserve">, is re-designed in SQL Server 2014 to improve the quality of query plans and query performance. The new cardinality estimator incorporates assumptions and algorithms that work well on modern </w:t>
      </w:r>
      <w:r w:rsidR="00925FB8">
        <w:t>online transaction processing (</w:t>
      </w:r>
      <w:r w:rsidRPr="00F4696B">
        <w:t>OLTP</w:t>
      </w:r>
      <w:r w:rsidR="00925FB8">
        <w:t>)</w:t>
      </w:r>
      <w:r w:rsidRPr="00F4696B">
        <w:t xml:space="preserve"> and data warehousing workloads. It is based on in-depth cardinality estimati</w:t>
      </w:r>
      <w:r w:rsidR="00BF6044">
        <w:t xml:space="preserve">on research on modern workloads as well as </w:t>
      </w:r>
      <w:r w:rsidR="005B1418">
        <w:t>Microsoft’s</w:t>
      </w:r>
      <w:r w:rsidRPr="00F4696B">
        <w:t xml:space="preserve"> learnings over the past 15 years of improving the SQL Server cardinality estimator. Feedback from customers shows that while most quer</w:t>
      </w:r>
      <w:r w:rsidR="00BF6044">
        <w:t>ies</w:t>
      </w:r>
      <w:r w:rsidRPr="00F4696B">
        <w:t xml:space="preserve"> benefit from the change or remain unchanged, a small number might show regressions compared to the previous cardinality estimator.</w:t>
      </w:r>
    </w:p>
    <w:p w:rsidR="00F4696B" w:rsidRDefault="00F4696B" w:rsidP="00F4696B">
      <w:pPr>
        <w:pStyle w:val="Heading3"/>
      </w:pPr>
      <w:r w:rsidRPr="00F4696B">
        <w:t xml:space="preserve">Managing the </w:t>
      </w:r>
      <w:r w:rsidR="00C91A1F">
        <w:t>l</w:t>
      </w:r>
      <w:r w:rsidRPr="00F4696B">
        <w:t xml:space="preserve">ock </w:t>
      </w:r>
      <w:r w:rsidR="00C91A1F">
        <w:t>p</w:t>
      </w:r>
      <w:r w:rsidRPr="00F4696B">
        <w:t xml:space="preserve">riority of </w:t>
      </w:r>
      <w:r w:rsidR="00C91A1F">
        <w:t>o</w:t>
      </w:r>
      <w:r w:rsidRPr="00F4696B">
        <w:t xml:space="preserve">nline </w:t>
      </w:r>
      <w:r w:rsidR="00C91A1F">
        <w:t>o</w:t>
      </w:r>
      <w:r w:rsidRPr="00F4696B">
        <w:t>perations</w:t>
      </w:r>
    </w:p>
    <w:p w:rsidR="00F4696B" w:rsidRPr="00F4696B" w:rsidRDefault="00F4696B" w:rsidP="00F4696B">
      <w:pPr>
        <w:pStyle w:val="Bodycopy"/>
      </w:pPr>
      <w:r w:rsidRPr="00F4696B">
        <w:t xml:space="preserve">The ONLINE = ON option now contains a WAIT_AT_LOW_PRIORITY option which permits you to specify how long the rebuild process should wait for the necessary locks. The WAIT_AT_LOW_PRIORITY option also allows you to configure the termination of blocking processes related to that rebuild statement. For more information, see </w:t>
      </w:r>
      <w:hyperlink r:id="rId17" w:history="1">
        <w:r w:rsidRPr="00F4696B">
          <w:rPr>
            <w:color w:val="0000FF"/>
            <w:u w:val="single"/>
          </w:rPr>
          <w:t>ALTER TABLE (Transact-SQL)</w:t>
        </w:r>
      </w:hyperlink>
      <w:r w:rsidRPr="00F4696B">
        <w:t xml:space="preserve"> and </w:t>
      </w:r>
      <w:hyperlink r:id="rId18" w:history="1">
        <w:r w:rsidRPr="00F4696B">
          <w:rPr>
            <w:color w:val="0000FF"/>
            <w:u w:val="single"/>
          </w:rPr>
          <w:t>ALTER INDEX (Transact-SQL)</w:t>
        </w:r>
      </w:hyperlink>
      <w:r w:rsidRPr="00F4696B">
        <w:t xml:space="preserve">. Troubleshooting information about new types of lock states is available in </w:t>
      </w:r>
      <w:hyperlink r:id="rId19" w:history="1">
        <w:r w:rsidRPr="00F4696B">
          <w:rPr>
            <w:color w:val="0000FF"/>
            <w:u w:val="single"/>
          </w:rPr>
          <w:t>sys.dm_tran_locks (Transact-SQL)</w:t>
        </w:r>
      </w:hyperlink>
      <w:r w:rsidRPr="00F4696B">
        <w:t xml:space="preserve"> and </w:t>
      </w:r>
      <w:hyperlink r:id="rId20" w:history="1">
        <w:r w:rsidRPr="00F4696B">
          <w:rPr>
            <w:color w:val="0000FF"/>
            <w:u w:val="single"/>
          </w:rPr>
          <w:t>sys.dm_os_wait_stats (Transact-SQL)</w:t>
        </w:r>
      </w:hyperlink>
      <w:r w:rsidRPr="00F4696B">
        <w:t>.</w:t>
      </w:r>
    </w:p>
    <w:p w:rsidR="00F4696B" w:rsidRDefault="00F4696B" w:rsidP="00F4696B">
      <w:pPr>
        <w:pStyle w:val="Heading3"/>
      </w:pPr>
      <w:r w:rsidRPr="00F4696B">
        <w:t xml:space="preserve">Resource Governor </w:t>
      </w:r>
      <w:r w:rsidR="00FE06C6">
        <w:t>e</w:t>
      </w:r>
      <w:r w:rsidRPr="00F4696B">
        <w:t xml:space="preserve">nhancements for </w:t>
      </w:r>
      <w:r w:rsidR="00FE06C6">
        <w:t>p</w:t>
      </w:r>
      <w:r w:rsidRPr="00F4696B">
        <w:t xml:space="preserve">hysical IO </w:t>
      </w:r>
      <w:r w:rsidR="00FE06C6">
        <w:t>c</w:t>
      </w:r>
      <w:r w:rsidRPr="00F4696B">
        <w:t>ontrol</w:t>
      </w:r>
    </w:p>
    <w:p w:rsidR="00F4696B" w:rsidRPr="00F4696B" w:rsidRDefault="00F4696B" w:rsidP="00F4696B">
      <w:pPr>
        <w:pStyle w:val="Bodycopy"/>
      </w:pPr>
      <w:r w:rsidRPr="00F4696B">
        <w:t xml:space="preserve">The Resource Governor enables you to specify limits on the amount of CPU, physical IO, and memory that incoming application requests can use within a resource pool. In SQL Server 2014, you can use the new MIN_IOPS_PER_VOLUME and MAX_IOPS_PER_VOLUME settings to control the physical IOs issued for user threads for a given resource pool. For more information, see </w:t>
      </w:r>
      <w:hyperlink r:id="rId21" w:history="1">
        <w:r w:rsidRPr="00F4696B">
          <w:rPr>
            <w:color w:val="0000FF"/>
            <w:u w:val="single"/>
          </w:rPr>
          <w:t>Resource Governor Resource Pool</w:t>
        </w:r>
      </w:hyperlink>
      <w:r w:rsidRPr="00F4696B">
        <w:t xml:space="preserve"> and </w:t>
      </w:r>
      <w:hyperlink r:id="rId22" w:history="1">
        <w:r w:rsidRPr="00F4696B">
          <w:rPr>
            <w:color w:val="0000FF"/>
            <w:u w:val="single"/>
          </w:rPr>
          <w:t>CREATE RESOURCE POOL (Transact-SQL)</w:t>
        </w:r>
      </w:hyperlink>
      <w:r w:rsidRPr="00F4696B">
        <w:t xml:space="preserve">. </w:t>
      </w:r>
    </w:p>
    <w:p w:rsidR="00F4696B" w:rsidRPr="00F4696B" w:rsidRDefault="00F4696B" w:rsidP="00F4696B">
      <w:pPr>
        <w:pStyle w:val="Bodycopy"/>
      </w:pPr>
      <w:r w:rsidRPr="00F4696B">
        <w:t xml:space="preserve">The MAX_OUTSTANDING_IO_PER_VOLUME setting of the ALTER RESOURCE GOVENOR sets the maximum outstanding I/O operations per disk volume. You can use this setting to tune IO resource governance to the IO characteristics of a disk volume and to limit the number of IOs issued at the SQL Server instance boundary. For more information, see </w:t>
      </w:r>
      <w:hyperlink r:id="rId23" w:history="1">
        <w:r w:rsidRPr="00F4696B">
          <w:rPr>
            <w:color w:val="0000FF"/>
            <w:u w:val="single"/>
          </w:rPr>
          <w:t>ALTER RESOURCE GOVERNOR (Transact-SQL)</w:t>
        </w:r>
      </w:hyperlink>
      <w:r w:rsidRPr="00F4696B">
        <w:t>.</w:t>
      </w:r>
    </w:p>
    <w:p w:rsidR="00F327BC" w:rsidRDefault="00F327BC">
      <w:pPr>
        <w:rPr>
          <w:rFonts w:asciiTheme="minorHAnsi" w:eastAsia="Times New Roman" w:hAnsiTheme="minorHAnsi" w:cs="Times New Roman"/>
          <w:b/>
          <w:color w:val="BB141A" w:themeColor="background2"/>
          <w:szCs w:val="20"/>
        </w:rPr>
      </w:pPr>
      <w:r>
        <w:br w:type="page"/>
      </w:r>
    </w:p>
    <w:p w:rsidR="00F4696B" w:rsidRDefault="00F4696B" w:rsidP="00F4696B">
      <w:pPr>
        <w:pStyle w:val="Heading3"/>
      </w:pPr>
      <w:r>
        <w:t xml:space="preserve">Incremental </w:t>
      </w:r>
      <w:r w:rsidR="00994542">
        <w:t>s</w:t>
      </w:r>
      <w:r>
        <w:t>tatistics</w:t>
      </w:r>
    </w:p>
    <w:p w:rsidR="00F4696B" w:rsidRPr="00F4696B" w:rsidRDefault="00F4696B" w:rsidP="00F4696B">
      <w:pPr>
        <w:pStyle w:val="Bodycopy"/>
        <w:rPr>
          <w:rFonts w:ascii="Calibri" w:hAnsi="Calibri"/>
        </w:rPr>
      </w:pPr>
      <w:r w:rsidRPr="00F4696B">
        <w:t xml:space="preserve">A major problem with updating statistics in large tables in SQL Server is that the entire table always has to be scanned </w:t>
      </w:r>
      <w:r w:rsidR="00105B2C">
        <w:t>(</w:t>
      </w:r>
      <w:r w:rsidRPr="00F4696B">
        <w:t>for example</w:t>
      </w:r>
      <w:r w:rsidR="00105B2C">
        <w:t>,</w:t>
      </w:r>
      <w:r w:rsidRPr="00F4696B">
        <w:t xml:space="preserve"> when using the </w:t>
      </w:r>
      <w:r w:rsidRPr="00F4696B">
        <w:rPr>
          <w:rFonts w:ascii="Courier New" w:hAnsi="Courier New" w:cs="Courier New"/>
          <w:sz w:val="19"/>
          <w:szCs w:val="19"/>
          <w:shd w:val="clear" w:color="auto" w:fill="ECECEC"/>
        </w:rPr>
        <w:t>WITH FULLSCAN</w:t>
      </w:r>
      <w:r w:rsidRPr="00F4696B">
        <w:t xml:space="preserve"> option</w:t>
      </w:r>
      <w:r w:rsidR="00105B2C">
        <w:t>)</w:t>
      </w:r>
      <w:r w:rsidRPr="00F4696B">
        <w:t xml:space="preserve">, even if only recent data has changed. This is also true </w:t>
      </w:r>
      <w:r w:rsidR="00E4674B">
        <w:t xml:space="preserve">with </w:t>
      </w:r>
      <w:r w:rsidRPr="00F4696B">
        <w:t xml:space="preserve">partitioning: even if only the newest partition </w:t>
      </w:r>
      <w:r w:rsidR="00CB64D0">
        <w:t>changed since the last statistics update</w:t>
      </w:r>
      <w:r w:rsidRPr="007B6665">
        <w:t>, the entire table</w:t>
      </w:r>
      <w:r w:rsidR="005B1418">
        <w:t>,</w:t>
      </w:r>
      <w:r w:rsidRPr="007B6665">
        <w:t xml:space="preserve"> including all the partitions that </w:t>
      </w:r>
      <w:r w:rsidR="00105B2C" w:rsidRPr="007B6665">
        <w:t>did not</w:t>
      </w:r>
      <w:r w:rsidRPr="007B6665">
        <w:t xml:space="preserve"> change</w:t>
      </w:r>
      <w:r w:rsidR="007B6665" w:rsidRPr="007B6665">
        <w:t>, has to be sc</w:t>
      </w:r>
      <w:r w:rsidR="00CB64D0">
        <w:t>anned again</w:t>
      </w:r>
      <w:r w:rsidRPr="007B6665">
        <w:t>.</w:t>
      </w:r>
      <w:r w:rsidRPr="00F4696B">
        <w:t xml:space="preserve"> </w:t>
      </w:r>
    </w:p>
    <w:p w:rsidR="00F4696B" w:rsidRPr="00F4696B" w:rsidRDefault="00F4696B" w:rsidP="00F4696B">
      <w:pPr>
        <w:pStyle w:val="Bodycopy"/>
      </w:pPr>
      <w:r w:rsidRPr="00F4696B">
        <w:t xml:space="preserve">Using </w:t>
      </w:r>
      <w:r>
        <w:t xml:space="preserve">SQL Server 2014 </w:t>
      </w:r>
      <w:r w:rsidRPr="00F4696B">
        <w:t>incremental statistics you can update only the partition or partitions that you need</w:t>
      </w:r>
      <w:r w:rsidR="005B1418">
        <w:t>,</w:t>
      </w:r>
      <w:r w:rsidRPr="00F4696B">
        <w:t xml:space="preserve"> and the information on these partitions will be merged with the existing information to create the final statistics object. Another advantage of incremental statistics is that the percentage of data changes required to trigger an automatic update of statistics now works at the partition level</w:t>
      </w:r>
      <w:r w:rsidR="00C53F8F">
        <w:t>,</w:t>
      </w:r>
      <w:r w:rsidRPr="00F4696B">
        <w:t xml:space="preserve"> which basically means that now only 20</w:t>
      </w:r>
      <w:r w:rsidR="00C53F8F">
        <w:t xml:space="preserve"> percent</w:t>
      </w:r>
      <w:r w:rsidRPr="00F4696B">
        <w:t xml:space="preserve"> of rows changed (changes on the leading statistics column) per partition are required.</w:t>
      </w:r>
      <w:r w:rsidRPr="00F4696B">
        <w:rPr>
          <w:rFonts w:eastAsiaTheme="minorHAnsi"/>
        </w:rPr>
        <w:t xml:space="preserve"> </w:t>
      </w:r>
      <w:r w:rsidRPr="00F4696B">
        <w:t xml:space="preserve">Related statements allow or report incremental statistics. Affected syntax includes UPDATE STATISTICS, sp_createstats, CREATE INDEX, ALTER INDEX, ALTER DATABASE SET options, DATABASEPROPERTYEX, sys.databases, and sys.stats. For more information, see </w:t>
      </w:r>
      <w:hyperlink r:id="rId24" w:history="1">
        <w:r w:rsidRPr="00F4696B">
          <w:rPr>
            <w:color w:val="FF0000"/>
          </w:rPr>
          <w:t>CREATE STATISTICS (Transact-SQL)</w:t>
        </w:r>
      </w:hyperlink>
      <w:r w:rsidRPr="00F4696B">
        <w:t>.</w:t>
      </w:r>
    </w:p>
    <w:p w:rsidR="00C60EA2" w:rsidRPr="002B63D0" w:rsidRDefault="00C60EA2" w:rsidP="00F4696B">
      <w:pPr>
        <w:pStyle w:val="Bodycopybullet"/>
        <w:numPr>
          <w:ilvl w:val="0"/>
          <w:numId w:val="0"/>
        </w:numPr>
        <w:rPr>
          <w:i/>
          <w:color w:val="3B3B3B" w:themeColor="text1" w:themeShade="BF"/>
        </w:rPr>
      </w:pPr>
      <w:r w:rsidRPr="002B63D0">
        <w:t xml:space="preserve"> </w:t>
      </w: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8E4D56" w:rsidRPr="00B85889" w:rsidTr="00A50561">
        <w:trPr>
          <w:trHeight w:hRule="exact" w:val="3312"/>
        </w:trPr>
        <w:tc>
          <w:tcPr>
            <w:tcW w:w="3312" w:type="dxa"/>
            <w:shd w:val="clear" w:color="auto" w:fill="BB141A" w:themeFill="background2"/>
          </w:tcPr>
          <w:p w:rsidR="008E4D56" w:rsidRPr="00B85889" w:rsidRDefault="009D2449" w:rsidP="00A50561">
            <w:pPr>
              <w:pStyle w:val="Heading1"/>
              <w:framePr w:wrap="auto" w:vAnchor="margin" w:hAnchor="text" w:xAlign="left" w:yAlign="inline"/>
              <w:suppressOverlap w:val="0"/>
              <w:outlineLvl w:val="0"/>
            </w:pPr>
            <w:r>
              <w:t>Changes in hardware specification</w:t>
            </w:r>
          </w:p>
        </w:tc>
      </w:tr>
    </w:tbl>
    <w:p w:rsidR="00C1313B" w:rsidRDefault="00C1313B" w:rsidP="00654875">
      <w:pPr>
        <w:pStyle w:val="Bodycopy"/>
      </w:pPr>
      <w:r>
        <w:t>Microsoft and its hardware partners realize that the price of memory is dropping with 16</w:t>
      </w:r>
      <w:r w:rsidR="00C53F8F">
        <w:t>-</w:t>
      </w:r>
      <w:r>
        <w:t xml:space="preserve">GB </w:t>
      </w:r>
      <w:r w:rsidR="00067B80">
        <w:t>dual in-line memory modules (</w:t>
      </w:r>
      <w:r w:rsidR="008D7B41">
        <w:t>DIMMs</w:t>
      </w:r>
      <w:r w:rsidR="00067B80">
        <w:t xml:space="preserve">) becoming the standard and that </w:t>
      </w:r>
      <w:r>
        <w:t xml:space="preserve">2-socket </w:t>
      </w:r>
      <w:r w:rsidR="00A3577D">
        <w:t>server</w:t>
      </w:r>
      <w:r>
        <w:t xml:space="preserve"> performance has doubled over the last two years with 50</w:t>
      </w:r>
      <w:r w:rsidR="00C53F8F">
        <w:t xml:space="preserve"> percent</w:t>
      </w:r>
      <w:r>
        <w:t xml:space="preserve"> more cores. As such, the DW Fast Track reference architecture needs to account for these advances. </w:t>
      </w:r>
    </w:p>
    <w:p w:rsidR="00C1313B" w:rsidRDefault="00C1313B" w:rsidP="00654875">
      <w:pPr>
        <w:pStyle w:val="Bodycopy"/>
      </w:pPr>
      <w:r>
        <w:t>Table 1 shows the updated</w:t>
      </w:r>
      <w:r w:rsidR="00E87443">
        <w:t xml:space="preserve"> minimum</w:t>
      </w:r>
      <w:r>
        <w:t xml:space="preserve"> memory recommendations based on the number of sockets in the server configuration.</w:t>
      </w:r>
    </w:p>
    <w:tbl>
      <w:tblPr>
        <w:tblStyle w:val="TableGrid"/>
        <w:tblW w:w="0" w:type="auto"/>
        <w:tblLook w:val="04A0" w:firstRow="1" w:lastRow="0" w:firstColumn="1" w:lastColumn="0" w:noHBand="0" w:noVBand="1"/>
      </w:tblPr>
      <w:tblGrid>
        <w:gridCol w:w="1411"/>
        <w:gridCol w:w="1411"/>
        <w:gridCol w:w="1411"/>
        <w:gridCol w:w="1411"/>
        <w:gridCol w:w="1412"/>
      </w:tblGrid>
      <w:tr w:rsidR="00C1313B" w:rsidTr="00C1313B">
        <w:tc>
          <w:tcPr>
            <w:tcW w:w="1411" w:type="dxa"/>
          </w:tcPr>
          <w:p w:rsidR="00C1313B" w:rsidRDefault="00C1313B" w:rsidP="00201FBC">
            <w:pPr>
              <w:pStyle w:val="Bodycopy"/>
              <w:jc w:val="center"/>
            </w:pPr>
            <w:r>
              <w:t xml:space="preserve">SQL Server </w:t>
            </w:r>
            <w:r w:rsidR="00201FBC">
              <w:t>v</w:t>
            </w:r>
            <w:r>
              <w:t>ersion</w:t>
            </w:r>
          </w:p>
        </w:tc>
        <w:tc>
          <w:tcPr>
            <w:tcW w:w="1411" w:type="dxa"/>
          </w:tcPr>
          <w:p w:rsidR="00C1313B" w:rsidRDefault="00E87443" w:rsidP="00201FBC">
            <w:pPr>
              <w:pStyle w:val="Bodycopy"/>
              <w:jc w:val="center"/>
            </w:pPr>
            <w:r>
              <w:t>1-</w:t>
            </w:r>
            <w:r w:rsidR="00201FBC">
              <w:t>s</w:t>
            </w:r>
            <w:r>
              <w:t>ocket</w:t>
            </w:r>
          </w:p>
        </w:tc>
        <w:tc>
          <w:tcPr>
            <w:tcW w:w="1411" w:type="dxa"/>
          </w:tcPr>
          <w:p w:rsidR="00C1313B" w:rsidRDefault="00E87443" w:rsidP="00201FBC">
            <w:pPr>
              <w:pStyle w:val="Bodycopy"/>
              <w:jc w:val="center"/>
            </w:pPr>
            <w:r>
              <w:t>2-</w:t>
            </w:r>
            <w:r w:rsidR="00201FBC">
              <w:t>s</w:t>
            </w:r>
            <w:r>
              <w:t>ocket</w:t>
            </w:r>
          </w:p>
        </w:tc>
        <w:tc>
          <w:tcPr>
            <w:tcW w:w="1411" w:type="dxa"/>
          </w:tcPr>
          <w:p w:rsidR="00C1313B" w:rsidRDefault="00E87443" w:rsidP="00201FBC">
            <w:pPr>
              <w:pStyle w:val="Bodycopy"/>
              <w:jc w:val="center"/>
            </w:pPr>
            <w:r>
              <w:t>4-</w:t>
            </w:r>
            <w:r w:rsidR="00201FBC">
              <w:t>s</w:t>
            </w:r>
            <w:r>
              <w:t>ocket</w:t>
            </w:r>
          </w:p>
        </w:tc>
        <w:tc>
          <w:tcPr>
            <w:tcW w:w="1412" w:type="dxa"/>
          </w:tcPr>
          <w:p w:rsidR="00C1313B" w:rsidRDefault="001E611B" w:rsidP="00201FBC">
            <w:pPr>
              <w:pStyle w:val="Bodycopy"/>
              <w:jc w:val="center"/>
            </w:pPr>
            <w:r>
              <w:t>8</w:t>
            </w:r>
            <w:r w:rsidR="00E87443">
              <w:t>-</w:t>
            </w:r>
            <w:r w:rsidR="00201FBC">
              <w:t>s</w:t>
            </w:r>
            <w:r w:rsidR="00E87443">
              <w:t>ocket</w:t>
            </w:r>
          </w:p>
        </w:tc>
      </w:tr>
      <w:tr w:rsidR="00C1313B" w:rsidTr="00C1313B">
        <w:tc>
          <w:tcPr>
            <w:tcW w:w="1411" w:type="dxa"/>
          </w:tcPr>
          <w:p w:rsidR="00C1313B" w:rsidRDefault="00C1313B" w:rsidP="00E87443">
            <w:pPr>
              <w:pStyle w:val="Bodycopy"/>
              <w:jc w:val="center"/>
            </w:pPr>
            <w:r>
              <w:t>2012</w:t>
            </w:r>
          </w:p>
        </w:tc>
        <w:tc>
          <w:tcPr>
            <w:tcW w:w="1411" w:type="dxa"/>
          </w:tcPr>
          <w:p w:rsidR="00C1313B" w:rsidRDefault="00E87443" w:rsidP="00E87443">
            <w:pPr>
              <w:pStyle w:val="Bodycopy"/>
              <w:jc w:val="center"/>
            </w:pPr>
            <w:r>
              <w:t>64</w:t>
            </w:r>
          </w:p>
        </w:tc>
        <w:tc>
          <w:tcPr>
            <w:tcW w:w="1411" w:type="dxa"/>
          </w:tcPr>
          <w:p w:rsidR="00C1313B" w:rsidRDefault="00E87443" w:rsidP="00E87443">
            <w:pPr>
              <w:pStyle w:val="Bodycopy"/>
              <w:jc w:val="center"/>
            </w:pPr>
            <w:r>
              <w:t>128</w:t>
            </w:r>
          </w:p>
        </w:tc>
        <w:tc>
          <w:tcPr>
            <w:tcW w:w="1411" w:type="dxa"/>
          </w:tcPr>
          <w:p w:rsidR="00C1313B" w:rsidRDefault="00E87443" w:rsidP="00E87443">
            <w:pPr>
              <w:pStyle w:val="Bodycopy"/>
              <w:jc w:val="center"/>
            </w:pPr>
            <w:r>
              <w:t>256</w:t>
            </w:r>
          </w:p>
        </w:tc>
        <w:tc>
          <w:tcPr>
            <w:tcW w:w="1412" w:type="dxa"/>
          </w:tcPr>
          <w:p w:rsidR="00C1313B" w:rsidRDefault="00E87443" w:rsidP="00E87443">
            <w:pPr>
              <w:pStyle w:val="Bodycopy"/>
              <w:jc w:val="center"/>
            </w:pPr>
            <w:r>
              <w:t>512</w:t>
            </w:r>
          </w:p>
        </w:tc>
      </w:tr>
      <w:tr w:rsidR="00C1313B" w:rsidTr="00C1313B">
        <w:tc>
          <w:tcPr>
            <w:tcW w:w="1411" w:type="dxa"/>
          </w:tcPr>
          <w:p w:rsidR="00C1313B" w:rsidRDefault="00C1313B" w:rsidP="00E87443">
            <w:pPr>
              <w:pStyle w:val="Bodycopy"/>
              <w:jc w:val="center"/>
            </w:pPr>
            <w:r>
              <w:t>2014</w:t>
            </w:r>
          </w:p>
        </w:tc>
        <w:tc>
          <w:tcPr>
            <w:tcW w:w="1411" w:type="dxa"/>
          </w:tcPr>
          <w:p w:rsidR="00C1313B" w:rsidRDefault="00E87443" w:rsidP="00E87443">
            <w:pPr>
              <w:pStyle w:val="Bodycopy"/>
              <w:jc w:val="center"/>
            </w:pPr>
            <w:r>
              <w:t>128</w:t>
            </w:r>
          </w:p>
        </w:tc>
        <w:tc>
          <w:tcPr>
            <w:tcW w:w="1411" w:type="dxa"/>
          </w:tcPr>
          <w:p w:rsidR="00C1313B" w:rsidRDefault="00E87443" w:rsidP="00E87443">
            <w:pPr>
              <w:pStyle w:val="Bodycopy"/>
              <w:jc w:val="center"/>
            </w:pPr>
            <w:r>
              <w:t>256</w:t>
            </w:r>
          </w:p>
        </w:tc>
        <w:tc>
          <w:tcPr>
            <w:tcW w:w="1411" w:type="dxa"/>
          </w:tcPr>
          <w:p w:rsidR="00C1313B" w:rsidRDefault="00E87443" w:rsidP="00E87443">
            <w:pPr>
              <w:pStyle w:val="Bodycopy"/>
              <w:jc w:val="center"/>
            </w:pPr>
            <w:r>
              <w:t>512</w:t>
            </w:r>
          </w:p>
        </w:tc>
        <w:tc>
          <w:tcPr>
            <w:tcW w:w="1412" w:type="dxa"/>
          </w:tcPr>
          <w:p w:rsidR="00C1313B" w:rsidRDefault="00BB11A8" w:rsidP="00E87443">
            <w:pPr>
              <w:pStyle w:val="Bodycopy"/>
              <w:jc w:val="center"/>
            </w:pPr>
            <w:r>
              <w:t>1024</w:t>
            </w:r>
          </w:p>
        </w:tc>
      </w:tr>
    </w:tbl>
    <w:p w:rsidR="00E87443" w:rsidRDefault="005B1418" w:rsidP="002079BF">
      <w:pPr>
        <w:pStyle w:val="Caption"/>
      </w:pPr>
      <w:r>
        <w:t xml:space="preserve">Table </w:t>
      </w:r>
      <w:r w:rsidR="007A32DD">
        <w:fldChar w:fldCharType="begin"/>
      </w:r>
      <w:r w:rsidR="007A32DD">
        <w:instrText xml:space="preserve"> SEQ Table \* ARABIC </w:instrText>
      </w:r>
      <w:r w:rsidR="007A32DD">
        <w:fldChar w:fldCharType="separate"/>
      </w:r>
      <w:r>
        <w:rPr>
          <w:noProof/>
        </w:rPr>
        <w:t>1</w:t>
      </w:r>
      <w:r w:rsidR="007A32DD">
        <w:rPr>
          <w:noProof/>
        </w:rPr>
        <w:fldChar w:fldCharType="end"/>
      </w:r>
      <w:r>
        <w:t>: Minimum memory recommendations</w:t>
      </w:r>
    </w:p>
    <w:p w:rsidR="003B0685" w:rsidRDefault="00E87443" w:rsidP="00E87443">
      <w:pPr>
        <w:pStyle w:val="Bodycopybullet"/>
        <w:numPr>
          <w:ilvl w:val="0"/>
          <w:numId w:val="0"/>
        </w:numPr>
      </w:pPr>
      <w:r>
        <w:t>SQL Server 2014 in-memory updateable columnstore</w:t>
      </w:r>
      <w:r w:rsidR="00D343AF">
        <w:t xml:space="preserve"> </w:t>
      </w:r>
      <w:r>
        <w:t>technology will be able to take advantage of the additional memory for even better performance of your data warehouse workloads.</w:t>
      </w:r>
    </w:p>
    <w:p w:rsidR="00E87443" w:rsidRDefault="00E87443" w:rsidP="00E87443">
      <w:pPr>
        <w:pStyle w:val="Bodycopybullet"/>
        <w:numPr>
          <w:ilvl w:val="0"/>
          <w:numId w:val="0"/>
        </w:numPr>
      </w:pPr>
      <w:r>
        <w:t xml:space="preserve">By using clustered columnstore indexes on tables as the default configuration, the new DW Fast Track specification compression ratio will change from 3.5 to 5. </w:t>
      </w: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3B0685" w:rsidRPr="00B85889" w:rsidTr="000C306F">
        <w:trPr>
          <w:trHeight w:hRule="exact" w:val="3312"/>
        </w:trPr>
        <w:tc>
          <w:tcPr>
            <w:tcW w:w="3312" w:type="dxa"/>
            <w:shd w:val="clear" w:color="auto" w:fill="BB141A" w:themeFill="background2"/>
          </w:tcPr>
          <w:p w:rsidR="003B0685" w:rsidRPr="00B85889" w:rsidRDefault="003B0685" w:rsidP="000C306F">
            <w:pPr>
              <w:pStyle w:val="Heading1"/>
              <w:framePr w:wrap="auto" w:vAnchor="margin" w:hAnchor="text" w:xAlign="left" w:yAlign="inline"/>
              <w:suppressOverlap w:val="0"/>
              <w:outlineLvl w:val="0"/>
            </w:pPr>
            <w:bookmarkStart w:id="3" w:name="_Ref383515341"/>
            <w:r>
              <w:t>Conclusion</w:t>
            </w:r>
            <w:bookmarkEnd w:id="3"/>
          </w:p>
        </w:tc>
      </w:tr>
    </w:tbl>
    <w:p w:rsidR="0069730C" w:rsidRDefault="003521D6" w:rsidP="000C306F">
      <w:pPr>
        <w:pStyle w:val="Bodycopy"/>
      </w:pPr>
      <w:r>
        <w:t xml:space="preserve">The Data Warehouse Fast Track for SQL Server 2014 reference architecture provides an alternative to </w:t>
      </w:r>
      <w:r w:rsidR="00BD6F07">
        <w:t xml:space="preserve">a </w:t>
      </w:r>
      <w:r>
        <w:t>build-it</w:t>
      </w:r>
      <w:r w:rsidR="005B1418">
        <w:t>-</w:t>
      </w:r>
      <w:r>
        <w:t xml:space="preserve">yourself data warehouse </w:t>
      </w:r>
      <w:r w:rsidR="00BD6F07">
        <w:t xml:space="preserve">approach, </w:t>
      </w:r>
      <w:r>
        <w:t xml:space="preserve">and </w:t>
      </w:r>
      <w:r w:rsidR="00BD6F07">
        <w:t xml:space="preserve">it is </w:t>
      </w:r>
      <w:r>
        <w:t>delivered by a wide variety of hardware partners for a faster time to solution.</w:t>
      </w:r>
      <w:r w:rsidR="00067B80">
        <w:t xml:space="preserve"> I</w:t>
      </w:r>
      <w:r w:rsidR="00E87443">
        <w:t>nnovations within SQL Server 2014</w:t>
      </w:r>
      <w:r w:rsidR="004B2A0D">
        <w:t>,</w:t>
      </w:r>
      <w:r w:rsidR="00D1103D">
        <w:t xml:space="preserve"> such as In-memory u</w:t>
      </w:r>
      <w:r w:rsidR="00E87443">
        <w:t xml:space="preserve">pdateable </w:t>
      </w:r>
      <w:r w:rsidR="00D1103D">
        <w:t>c</w:t>
      </w:r>
      <w:r w:rsidR="00E87443">
        <w:t xml:space="preserve">lustered </w:t>
      </w:r>
      <w:r w:rsidR="00D1103D">
        <w:t>c</w:t>
      </w:r>
      <w:r w:rsidR="00E87443">
        <w:t>olumnstore</w:t>
      </w:r>
      <w:r w:rsidR="004B2A0D">
        <w:t>,</w:t>
      </w:r>
      <w:r w:rsidR="00E87443">
        <w:t xml:space="preserve"> provide up to 10 times faster query performance over traditional rowstore tables and up to 15 times better compression of data depending on your data.</w:t>
      </w:r>
    </w:p>
    <w:p w:rsidR="0069730C" w:rsidRDefault="003521D6" w:rsidP="0069730C">
      <w:pPr>
        <w:pStyle w:val="Bodycopy"/>
      </w:pPr>
      <w:r>
        <w:t xml:space="preserve">DW Fast Track fits within </w:t>
      </w:r>
      <w:r w:rsidR="004B2A0D">
        <w:t xml:space="preserve">the </w:t>
      </w:r>
      <w:r>
        <w:t xml:space="preserve">Microsoft </w:t>
      </w:r>
      <w:r w:rsidR="004B2A0D">
        <w:t>m</w:t>
      </w:r>
      <w:r>
        <w:t xml:space="preserve">odern </w:t>
      </w:r>
      <w:r w:rsidR="004B2A0D">
        <w:t>d</w:t>
      </w:r>
      <w:r>
        <w:t xml:space="preserve">ata </w:t>
      </w:r>
      <w:r w:rsidR="004B2A0D">
        <w:t>w</w:t>
      </w:r>
      <w:r>
        <w:t xml:space="preserve">arehouse vision by </w:t>
      </w:r>
      <w:r w:rsidR="00FC0491">
        <w:t>offering</w:t>
      </w:r>
      <w:r>
        <w:t xml:space="preserve"> a standalone data warehousing platform or </w:t>
      </w:r>
      <w:r w:rsidR="00795D10">
        <w:t xml:space="preserve">the option to </w:t>
      </w:r>
      <w:r>
        <w:t>integrate</w:t>
      </w:r>
      <w:r w:rsidR="00795D10">
        <w:t>,</w:t>
      </w:r>
      <w:r>
        <w:t xml:space="preserve"> </w:t>
      </w:r>
      <w:r w:rsidR="00345735">
        <w:t>as part of a larger enterprise Big D</w:t>
      </w:r>
      <w:r>
        <w:t>ata strategy</w:t>
      </w:r>
      <w:r w:rsidR="00795D10">
        <w:t>,</w:t>
      </w:r>
      <w:r>
        <w:t xml:space="preserve"> with the Microsoft Analytics Platform System as part of a well-designed hub and spoke architecture.</w:t>
      </w:r>
    </w:p>
    <w:p w:rsidR="00F012BD" w:rsidRDefault="00F012BD" w:rsidP="0069730C">
      <w:pPr>
        <w:pStyle w:val="Bodycopy"/>
      </w:pP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8E4D56" w:rsidRPr="00B85889" w:rsidTr="00322028">
        <w:trPr>
          <w:trHeight w:hRule="exact" w:val="3312"/>
        </w:trPr>
        <w:tc>
          <w:tcPr>
            <w:tcW w:w="3312" w:type="dxa"/>
            <w:shd w:val="clear" w:color="auto" w:fill="BB141A" w:themeFill="background2"/>
          </w:tcPr>
          <w:p w:rsidR="008E4D56" w:rsidRPr="00B85889" w:rsidRDefault="008E4D56" w:rsidP="00322028">
            <w:pPr>
              <w:pStyle w:val="Heading1"/>
              <w:framePr w:wrap="auto" w:vAnchor="margin" w:hAnchor="text" w:xAlign="left" w:yAlign="inline"/>
              <w:suppressOverlap w:val="0"/>
              <w:outlineLvl w:val="0"/>
            </w:pPr>
            <w:bookmarkStart w:id="4" w:name="_Ref383515370"/>
            <w:r>
              <w:t>Get started today</w:t>
            </w:r>
            <w:bookmarkEnd w:id="4"/>
          </w:p>
        </w:tc>
      </w:tr>
    </w:tbl>
    <w:p w:rsidR="007B5F35" w:rsidRPr="00F012BD" w:rsidRDefault="00F012BD" w:rsidP="00F012BD">
      <w:pPr>
        <w:pStyle w:val="Bodycopy"/>
      </w:pPr>
      <w:r w:rsidRPr="00F012BD">
        <w:t>Get started building your modern data warehouse today</w:t>
      </w:r>
      <w:r w:rsidR="00CB64D0">
        <w:t xml:space="preserve"> by completing the following</w:t>
      </w:r>
      <w:r w:rsidRPr="00F012BD">
        <w:t>:</w:t>
      </w:r>
    </w:p>
    <w:p w:rsidR="003521D6" w:rsidRDefault="007B5F35" w:rsidP="00F012BD">
      <w:pPr>
        <w:pStyle w:val="Bodycopy"/>
        <w:numPr>
          <w:ilvl w:val="0"/>
          <w:numId w:val="47"/>
        </w:numPr>
        <w:spacing w:after="240"/>
        <w:ind w:left="360" w:hanging="216"/>
        <w:rPr>
          <w:rStyle w:val="Hyperlink"/>
        </w:rPr>
      </w:pPr>
      <w:r>
        <w:t xml:space="preserve">Learn more about </w:t>
      </w:r>
      <w:r w:rsidR="00F012BD">
        <w:t>Fast Track data warehousing at</w:t>
      </w:r>
      <w:r w:rsidR="003521D6">
        <w:t xml:space="preserve"> </w:t>
      </w:r>
      <w:hyperlink r:id="rId25" w:history="1">
        <w:r w:rsidR="003521D6" w:rsidRPr="00E83FD6">
          <w:rPr>
            <w:rStyle w:val="Hyperlink"/>
          </w:rPr>
          <w:t>http://www.microsoft.com/sqlserver/en/us/solutions-technologies/data-warehousing/fast-track.aspx</w:t>
        </w:r>
      </w:hyperlink>
      <w:r w:rsidR="00CB64D0">
        <w:t>.</w:t>
      </w:r>
    </w:p>
    <w:p w:rsidR="00906D63" w:rsidRPr="00906D63" w:rsidRDefault="00F8243C" w:rsidP="00F012BD">
      <w:pPr>
        <w:pStyle w:val="Bodycopy"/>
        <w:numPr>
          <w:ilvl w:val="0"/>
          <w:numId w:val="47"/>
        </w:numPr>
        <w:ind w:left="360" w:hanging="216"/>
        <w:rPr>
          <w:rStyle w:val="Hyperlink"/>
          <w:color w:val="505050" w:themeColor="text1"/>
        </w:rPr>
      </w:pPr>
      <w:r>
        <w:t xml:space="preserve">Download the trial version of </w:t>
      </w:r>
      <w:r w:rsidR="00906D63">
        <w:t xml:space="preserve">SQL Server 2014 at </w:t>
      </w:r>
      <w:hyperlink r:id="rId26" w:history="1">
        <w:r w:rsidR="00906D63" w:rsidRPr="00E83FD6">
          <w:rPr>
            <w:rStyle w:val="Hyperlink"/>
          </w:rPr>
          <w:t>http://www.microsoft.com/en-us/sqlserver/sql-server-2014.aspx</w:t>
        </w:r>
      </w:hyperlink>
      <w:r w:rsidR="00906D63">
        <w:t xml:space="preserve">. </w:t>
      </w:r>
    </w:p>
    <w:p w:rsidR="00AC7A88" w:rsidRDefault="00906D63" w:rsidP="006168D4">
      <w:pPr>
        <w:pStyle w:val="Bodycopy"/>
        <w:numPr>
          <w:ilvl w:val="0"/>
          <w:numId w:val="47"/>
        </w:numPr>
        <w:ind w:left="360" w:hanging="216"/>
      </w:pPr>
      <w:r>
        <w:t>Sign up for a free architectural design session for data warehousing with your Microsoft representative.</w:t>
      </w:r>
    </w:p>
    <w:p w:rsidR="006168D4" w:rsidRPr="00067B80" w:rsidRDefault="006168D4" w:rsidP="006168D4">
      <w:pPr>
        <w:pStyle w:val="Bodycopy"/>
      </w:pPr>
    </w:p>
    <w:tbl>
      <w:tblPr>
        <w:tblStyle w:val="TableGrid"/>
        <w:tblpPr w:vertAnchor="text" w:horzAnchor="page" w:tblpX="721" w:tblpY="1"/>
        <w:tblOverlap w:val="never"/>
        <w:tblW w:w="0" w:type="auto"/>
        <w:shd w:val="clear" w:color="auto" w:fill="BB141A" w:themeFill="background2"/>
        <w:tblLayout w:type="fixed"/>
        <w:tblCellMar>
          <w:top w:w="187" w:type="dxa"/>
          <w:left w:w="187" w:type="dxa"/>
          <w:bottom w:w="187" w:type="dxa"/>
          <w:right w:w="187" w:type="dxa"/>
        </w:tblCellMar>
        <w:tblLook w:val="04A0" w:firstRow="1" w:lastRow="0" w:firstColumn="1" w:lastColumn="0" w:noHBand="0" w:noVBand="1"/>
      </w:tblPr>
      <w:tblGrid>
        <w:gridCol w:w="3312"/>
      </w:tblGrid>
      <w:tr w:rsidR="008E4D56" w:rsidRPr="00B85889" w:rsidTr="00322028">
        <w:trPr>
          <w:trHeight w:hRule="exact" w:val="3312"/>
        </w:trPr>
        <w:tc>
          <w:tcPr>
            <w:tcW w:w="3312" w:type="dxa"/>
            <w:shd w:val="clear" w:color="auto" w:fill="BB141A" w:themeFill="background2"/>
          </w:tcPr>
          <w:p w:rsidR="008E4D56" w:rsidRPr="00B85889" w:rsidRDefault="008E4D56" w:rsidP="00322028">
            <w:pPr>
              <w:pStyle w:val="Heading1"/>
              <w:framePr w:wrap="auto" w:vAnchor="margin" w:hAnchor="text" w:xAlign="left" w:yAlign="inline"/>
              <w:suppressOverlap w:val="0"/>
              <w:outlineLvl w:val="0"/>
            </w:pPr>
            <w:bookmarkStart w:id="5" w:name="_Ref383515382"/>
            <w:r>
              <w:t>For more information</w:t>
            </w:r>
            <w:bookmarkEnd w:id="5"/>
          </w:p>
        </w:tc>
      </w:tr>
    </w:tbl>
    <w:p w:rsidR="006168D4" w:rsidRPr="006168D4" w:rsidRDefault="006168D4" w:rsidP="006168D4">
      <w:pPr>
        <w:pStyle w:val="Bodycopy"/>
      </w:pPr>
      <w:r w:rsidRPr="006168D4">
        <w:t xml:space="preserve">Explore </w:t>
      </w:r>
      <w:r w:rsidR="00054EF4">
        <w:t>the following</w:t>
      </w:r>
      <w:r w:rsidRPr="006168D4">
        <w:t xml:space="preserve"> resource</w:t>
      </w:r>
      <w:r w:rsidR="00345735">
        <w:t>s</w:t>
      </w:r>
      <w:r w:rsidRPr="006168D4">
        <w:t xml:space="preserve"> for more information on </w:t>
      </w:r>
      <w:r w:rsidR="00345735">
        <w:t>DW</w:t>
      </w:r>
      <w:r w:rsidRPr="006168D4">
        <w:t xml:space="preserve"> Fast Track for SQL Server 2014 and supporting technologies:</w:t>
      </w:r>
    </w:p>
    <w:p w:rsidR="00F632A2" w:rsidRDefault="005F3E56" w:rsidP="00236DA7">
      <w:pPr>
        <w:pStyle w:val="Bodycopy"/>
        <w:spacing w:after="240"/>
      </w:pPr>
      <w:r>
        <w:t>SQL Server</w:t>
      </w:r>
      <w:r w:rsidR="00F632A2">
        <w:t xml:space="preserve">: </w:t>
      </w:r>
      <w:hyperlink r:id="rId27" w:history="1">
        <w:r w:rsidR="00F632A2" w:rsidRPr="00E83FD6">
          <w:rPr>
            <w:rStyle w:val="Hyperlink"/>
          </w:rPr>
          <w:t>http://www.microsoft.com/sqlserver/</w:t>
        </w:r>
      </w:hyperlink>
    </w:p>
    <w:p w:rsidR="00F632A2" w:rsidRDefault="00F632A2" w:rsidP="00236DA7">
      <w:pPr>
        <w:pStyle w:val="Bodycopy"/>
        <w:spacing w:after="240"/>
      </w:pPr>
      <w:r>
        <w:t xml:space="preserve">SQL Server TechCenter: </w:t>
      </w:r>
      <w:hyperlink r:id="rId28" w:history="1">
        <w:r w:rsidRPr="00E83FD6">
          <w:rPr>
            <w:rStyle w:val="Hyperlink"/>
          </w:rPr>
          <w:t>http://technet.microsoft.com/en-us/sqlserver/</w:t>
        </w:r>
      </w:hyperlink>
    </w:p>
    <w:p w:rsidR="00F632A2" w:rsidRDefault="00F632A2" w:rsidP="00236DA7">
      <w:pPr>
        <w:pStyle w:val="Bodycopy"/>
        <w:spacing w:after="240"/>
      </w:pPr>
      <w:r>
        <w:t>SQL Server Dev</w:t>
      </w:r>
      <w:r w:rsidR="007B5F35">
        <w:t xml:space="preserve">eloper </w:t>
      </w:r>
      <w:r>
        <w:t xml:space="preserve">Center: </w:t>
      </w:r>
      <w:hyperlink r:id="rId29" w:history="1">
        <w:r w:rsidRPr="00E83FD6">
          <w:rPr>
            <w:rStyle w:val="Hyperlink"/>
          </w:rPr>
          <w:t>http://msdn.microsoft.com/en-us/sqlserver/</w:t>
        </w:r>
      </w:hyperlink>
    </w:p>
    <w:p w:rsidR="00F632A2" w:rsidRDefault="007B5F35" w:rsidP="00236DA7">
      <w:pPr>
        <w:pStyle w:val="Bodycopy"/>
        <w:spacing w:after="240"/>
      </w:pPr>
      <w:r>
        <w:t xml:space="preserve">Microsoft </w:t>
      </w:r>
      <w:r w:rsidR="005B1418">
        <w:t>m</w:t>
      </w:r>
      <w:r>
        <w:t>odern data warehouse</w:t>
      </w:r>
      <w:r w:rsidR="00F632A2">
        <w:t xml:space="preserve">: </w:t>
      </w:r>
      <w:hyperlink r:id="rId30" w:history="1">
        <w:r w:rsidR="00F632A2" w:rsidRPr="00E83FD6">
          <w:rPr>
            <w:rStyle w:val="Hyperlink"/>
          </w:rPr>
          <w:t>http://www.microsoft.com/sqlserver/en/us/solutions-technologies/data-warehousing.aspx</w:t>
        </w:r>
      </w:hyperlink>
    </w:p>
    <w:p w:rsidR="00F632A2" w:rsidRDefault="00A262E9" w:rsidP="00236DA7">
      <w:pPr>
        <w:pStyle w:val="Bodycopy"/>
        <w:spacing w:after="240"/>
      </w:pPr>
      <w:r>
        <w:t>Microsoft Analytics Platform System</w:t>
      </w:r>
      <w:r w:rsidR="00F632A2">
        <w:t xml:space="preserve">: </w:t>
      </w:r>
      <w:hyperlink r:id="rId31" w:history="1">
        <w:r w:rsidRPr="001F14AA">
          <w:rPr>
            <w:rStyle w:val="Hyperlink"/>
          </w:rPr>
          <w:t>http://www.microsoft.com/</w:t>
        </w:r>
      </w:hyperlink>
      <w:r>
        <w:rPr>
          <w:rStyle w:val="Hyperlink"/>
        </w:rPr>
        <w:t>aps</w:t>
      </w:r>
    </w:p>
    <w:p w:rsidR="00AE5DB5" w:rsidRPr="00AC7A88" w:rsidRDefault="00F632A2" w:rsidP="006168D4">
      <w:pPr>
        <w:pStyle w:val="Bodycopy"/>
        <w:spacing w:after="240"/>
      </w:pPr>
      <w:r>
        <w:t>Microsoft Big Data solution:</w:t>
      </w:r>
      <w:r w:rsidR="00341EDE">
        <w:t xml:space="preserve"> </w:t>
      </w:r>
      <w:hyperlink r:id="rId32" w:history="1">
        <w:r w:rsidRPr="00E83FD6">
          <w:rPr>
            <w:rStyle w:val="Hyperlink"/>
          </w:rPr>
          <w:t>http://www.microsoft.com/sqlserver/en/us/solutions-technologies/business-intelligence/big-data-solution.aspx</w:t>
        </w:r>
      </w:hyperlink>
    </w:p>
    <w:sectPr w:rsidR="00AE5DB5" w:rsidRPr="00AC7A88" w:rsidSect="0009214C">
      <w:headerReference w:type="default" r:id="rId33"/>
      <w:footerReference w:type="default" r:id="rId34"/>
      <w:pgSz w:w="12240" w:h="15840" w:code="1"/>
      <w:pgMar w:top="533" w:right="720" w:bottom="1008" w:left="4464" w:header="288" w:footer="547" w:gutter="0"/>
      <w:pgNumType w:start="3"/>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2DD" w:rsidRDefault="007A32DD" w:rsidP="004A71C7">
      <w:r>
        <w:separator/>
      </w:r>
    </w:p>
  </w:endnote>
  <w:endnote w:type="continuationSeparator" w:id="0">
    <w:p w:rsidR="007A32DD" w:rsidRDefault="007A32DD" w:rsidP="004A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C0FFBD0-4278-4E8A-A420-5732E8FA7721}"/>
    <w:embedBold r:id="rId2" w:fontKey="{BF9D7087-356B-486C-8464-CF92A02E8653}"/>
    <w:embedItalic r:id="rId3" w:fontKey="{CA574C23-9ACC-4C59-9EE1-AD570FA317DF}"/>
    <w:embedBoldItalic r:id="rId4" w:fontKey="{E0AE460E-3722-4923-BA93-DEF067DEEC2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w:panose1 w:val="020B0502040504020203"/>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r:id="rId5" w:fontKey="{3E3D1351-AE4B-4DAE-A985-367945235633}"/>
    <w:embedItalic r:id="rId6" w:fontKey="{13D28D6F-8A11-4692-B9AF-DFC55AA050EB}"/>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embedRegular r:id="rId7" w:subsetted="1" w:fontKey="{D28FBBE1-935B-4185-8725-873DB2327D01}"/>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2E1" w:rsidRPr="003A1858" w:rsidRDefault="009C789B">
    <w:pPr>
      <w:pStyle w:val="Footer"/>
      <w:rPr>
        <w:color w:val="FFFFFF"/>
      </w:rPr>
    </w:pPr>
    <w:r>
      <w:rPr>
        <w:color w:val="FFFFFF"/>
      </w:rPr>
      <w:t>What’s new for Data Warehouse Fast Track for SQL Server 2014</w:t>
    </w:r>
    <w:r w:rsidR="007B5F35">
      <w:rPr>
        <w:color w:val="FFFFFF"/>
      </w:rPr>
      <w:t xml:space="preserve"> </w:t>
    </w:r>
    <w:r w:rsidR="004B22E1">
      <w:rPr>
        <w:color w:val="FFFFFF"/>
      </w:rPr>
      <w:t xml:space="preserve">| </w:t>
    </w:r>
    <w:r>
      <w:rPr>
        <w:color w:val="FFFFFF"/>
      </w:rPr>
      <w:t>White Paper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2E1" w:rsidRDefault="009C789B" w:rsidP="003A1858">
    <w:pPr>
      <w:pStyle w:val="Footer"/>
      <w:tabs>
        <w:tab w:val="right" w:pos="7020"/>
      </w:tabs>
    </w:pPr>
    <w:r w:rsidRPr="009C789B">
      <w:t>What’s new for Data Warehouse Fast Track for SQL Server 2014</w:t>
    </w:r>
    <w:r w:rsidR="007B5F35">
      <w:t xml:space="preserve"> </w:t>
    </w:r>
    <w:r w:rsidRPr="009C789B">
      <w:t>| White Paper</w:t>
    </w:r>
    <w:r w:rsidR="004B22E1">
      <w:tab/>
    </w:r>
    <w:r w:rsidR="004B22E1" w:rsidRPr="00086E21">
      <w:rPr>
        <w:sz w:val="18"/>
      </w:rPr>
      <w:fldChar w:fldCharType="begin"/>
    </w:r>
    <w:r w:rsidR="004B22E1" w:rsidRPr="00086E21">
      <w:rPr>
        <w:sz w:val="18"/>
      </w:rPr>
      <w:instrText xml:space="preserve"> PAGE   \* MERGEFORMAT </w:instrText>
    </w:r>
    <w:r w:rsidR="004B22E1" w:rsidRPr="00086E21">
      <w:rPr>
        <w:sz w:val="18"/>
      </w:rPr>
      <w:fldChar w:fldCharType="separate"/>
    </w:r>
    <w:r w:rsidR="00095F1F">
      <w:rPr>
        <w:noProof/>
        <w:sz w:val="18"/>
      </w:rPr>
      <w:t>11</w:t>
    </w:r>
    <w:r w:rsidR="004B22E1" w:rsidRPr="00086E21">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2DD" w:rsidRDefault="007A32DD" w:rsidP="004A71C7">
      <w:r>
        <w:separator/>
      </w:r>
    </w:p>
  </w:footnote>
  <w:footnote w:type="continuationSeparator" w:id="0">
    <w:p w:rsidR="007A32DD" w:rsidRDefault="007A32DD" w:rsidP="004A71C7">
      <w:r>
        <w:continuationSeparator/>
      </w:r>
    </w:p>
  </w:footnote>
  <w:footnote w:id="1">
    <w:p w:rsidR="00684AE4" w:rsidRDefault="00684AE4" w:rsidP="00684AE4">
      <w:pPr>
        <w:pStyle w:val="Footnote"/>
      </w:pPr>
      <w:r>
        <w:rPr>
          <w:rStyle w:val="FootnoteReference"/>
        </w:rPr>
        <w:footnoteRef/>
      </w:r>
      <w:r>
        <w:t xml:space="preserve"> </w:t>
      </w:r>
      <w:r w:rsidRPr="00781C30">
        <w:t>SQL Server 2014 and HP Sets Two World Records for Data Warehousing Leading In Both Performance and Price/Performance</w:t>
      </w:r>
      <w:r>
        <w:t xml:space="preserve">, </w:t>
      </w:r>
      <w:hyperlink r:id="rId1" w:history="1">
        <w:r w:rsidRPr="00E86F58">
          <w:rPr>
            <w:rStyle w:val="Hyperlink"/>
          </w:rPr>
          <w:t>http://blogs.technet.com/b/dataplatforminsider/archive/2014/04/16/sql-server-2014-and-hp-sets-two-world-records-for-data-warehousing-leading-in-both-performance-and-price-performance.aspx</w:t>
        </w:r>
      </w:hyperlink>
      <w:r>
        <w:t>, April 2014</w:t>
      </w:r>
    </w:p>
  </w:footnote>
  <w:footnote w:id="2">
    <w:p w:rsidR="00937C88" w:rsidRDefault="00937C88" w:rsidP="00937C88">
      <w:pPr>
        <w:pStyle w:val="Footnote"/>
      </w:pPr>
      <w:r>
        <w:rPr>
          <w:rStyle w:val="FootnoteReference"/>
        </w:rPr>
        <w:footnoteRef/>
      </w:r>
      <w:r>
        <w:t xml:space="preserve"> </w:t>
      </w:r>
      <w:r w:rsidRPr="00937C88">
        <w:t xml:space="preserve">Microsoft Research, Enhancements to SQL Server Column Stores, </w:t>
      </w:r>
      <w:hyperlink r:id="rId2" w:history="1">
        <w:r w:rsidRPr="00044244">
          <w:rPr>
            <w:rStyle w:val="Hyperlink"/>
            <w:lang w:val="x-none"/>
          </w:rPr>
          <w:t>http://research.microsoft.com/pubs/193599/Apollo3%20-%20Sigmod%202013%20-%20final.pdf</w:t>
        </w:r>
      </w:hyperlink>
      <w:r w:rsidRPr="00937C88">
        <w:t xml:space="preserve">, June 2013 </w:t>
      </w:r>
      <w:r w:rsidRPr="00937C88">
        <w:cr/>
      </w:r>
    </w:p>
  </w:footnote>
  <w:footnote w:id="3">
    <w:p w:rsidR="00B747E6" w:rsidRDefault="00B747E6">
      <w:pPr>
        <w:pStyle w:val="FootnoteText"/>
      </w:pPr>
      <w:r w:rsidRPr="00B747E6">
        <w:rPr>
          <w:rStyle w:val="FootnoteChar"/>
          <w:vertAlign w:val="superscript"/>
        </w:rPr>
        <w:footnoteRef/>
      </w:r>
      <w:r w:rsidRPr="00B747E6">
        <w:rPr>
          <w:rStyle w:val="FootnoteChar"/>
        </w:rPr>
        <w:t xml:space="preserve"> Microsoft Case Studies</w:t>
      </w:r>
      <w:r w:rsidRPr="00B747E6">
        <w:rPr>
          <w:rStyle w:val="FootnoteChar"/>
          <w:i/>
        </w:rPr>
        <w:t>, NASDAQ OMX Group Reduces 2 PB of Data to 500 TB with Microsoft In-Memory Technolog</w:t>
      </w:r>
      <w:r w:rsidRPr="00B747E6">
        <w:rPr>
          <w:rStyle w:val="FootnoteChar"/>
        </w:rPr>
        <w:t xml:space="preserve">y, </w:t>
      </w:r>
      <w:hyperlink r:id="rId3" w:history="1">
        <w:r w:rsidRPr="00B747E6">
          <w:rPr>
            <w:rStyle w:val="Hyperlink"/>
            <w:rFonts w:asciiTheme="minorHAnsi" w:hAnsiTheme="minorHAnsi" w:cstheme="minorHAnsi"/>
            <w:sz w:val="14"/>
            <w:szCs w:val="14"/>
          </w:rPr>
          <w:t>http://www.microsoft.com/casestudies/Microsoft-SQL-Server-2014-Enterprise/NASDAQ-OMX/NASDAQ-OMX-Group-Reduces-2-PB-of-Data-to-500-TB-with-Microsoft-In-Memory-Technology/710000004283</w:t>
        </w:r>
      </w:hyperlink>
      <w:r w:rsidRPr="00B747E6">
        <w:rPr>
          <w:rStyle w:val="FootnoteChar"/>
        </w:rPr>
        <w:t>, April 2014</w:t>
      </w:r>
    </w:p>
  </w:footnote>
  <w:footnote w:id="4">
    <w:p w:rsidR="00B747E6" w:rsidRDefault="00B747E6">
      <w:pPr>
        <w:pStyle w:val="FootnoteText"/>
      </w:pPr>
      <w:r w:rsidRPr="00B747E6">
        <w:rPr>
          <w:rStyle w:val="FootnoteChar"/>
          <w:vertAlign w:val="superscript"/>
        </w:rPr>
        <w:footnoteRef/>
      </w:r>
      <w:r w:rsidRPr="00B747E6">
        <w:rPr>
          <w:rStyle w:val="FootnoteChar"/>
          <w:vertAlign w:val="superscript"/>
        </w:rPr>
        <w:t xml:space="preserve"> </w:t>
      </w:r>
      <w:r w:rsidRPr="00B747E6">
        <w:rPr>
          <w:rStyle w:val="FootnoteChar"/>
        </w:rPr>
        <w:t>Microsoft Case Studies,</w:t>
      </w:r>
      <w:r>
        <w:rPr>
          <w:rStyle w:val="FootnoteChar"/>
        </w:rPr>
        <w:t xml:space="preserve"> </w:t>
      </w:r>
      <w:r w:rsidRPr="00B747E6">
        <w:rPr>
          <w:rStyle w:val="FootnoteChar"/>
          <w:i/>
        </w:rPr>
        <w:t>A new vision for DW in the age of Big Data: Clustered Columnstore Index</w:t>
      </w:r>
      <w:r>
        <w:rPr>
          <w:rStyle w:val="FootnoteChar"/>
        </w:rPr>
        <w:t xml:space="preserve">, </w:t>
      </w:r>
      <w:hyperlink r:id="rId4" w:history="1">
        <w:r w:rsidRPr="006E4F38">
          <w:rPr>
            <w:rStyle w:val="Hyperlink"/>
            <w:rFonts w:asciiTheme="minorHAnsi" w:hAnsiTheme="minorHAnsi" w:cstheme="minorHAnsi"/>
            <w:sz w:val="14"/>
            <w:szCs w:val="14"/>
          </w:rPr>
          <w:t>http://www.microsoft.com/casestudies/Case_Study_Detail.aspx?CaseStudyID=710000004340</w:t>
        </w:r>
      </w:hyperlink>
      <w:r>
        <w:rPr>
          <w:rStyle w:val="FootnoteChar"/>
        </w:rPr>
        <w:t>, April 2014</w:t>
      </w:r>
    </w:p>
  </w:footnote>
  <w:footnote w:id="5">
    <w:p w:rsidR="00211D92" w:rsidRDefault="00211D92" w:rsidP="00211D92">
      <w:pPr>
        <w:pStyle w:val="Footnote"/>
      </w:pPr>
      <w:r>
        <w:rPr>
          <w:rStyle w:val="FootnoteReference"/>
        </w:rPr>
        <w:footnoteRef/>
      </w:r>
      <w:r>
        <w:t xml:space="preserve"> </w:t>
      </w:r>
      <w:r w:rsidRPr="00781C30">
        <w:t>SQL Server 2014 and HP Sets Two World Records for Data Warehousing Leading In Both Performance and Price/Performance</w:t>
      </w:r>
      <w:r>
        <w:t xml:space="preserve">, </w:t>
      </w:r>
      <w:hyperlink r:id="rId5" w:history="1">
        <w:r w:rsidRPr="00E86F58">
          <w:rPr>
            <w:rStyle w:val="Hyperlink"/>
          </w:rPr>
          <w:t>http://blogs.technet.com/b/dataplatforminsider/archive/2014/04/16/sql-server-2014-and-hp-sets-two-world-records-for-data-warehousing-leading-in-both-performance-and-price-performance.aspx</w:t>
        </w:r>
      </w:hyperlink>
      <w:r>
        <w:t>, April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2E1" w:rsidRDefault="004B22E1">
    <w:pPr>
      <w:pStyle w:val="Header"/>
    </w:pPr>
    <w:r>
      <w:rPr>
        <w:noProof/>
      </w:rPr>
      <mc:AlternateContent>
        <mc:Choice Requires="wps">
          <w:drawing>
            <wp:anchor distT="0" distB="0" distL="114300" distR="114300" simplePos="0" relativeHeight="251674112" behindDoc="1" locked="1" layoutInCell="0" allowOverlap="1" wp14:anchorId="0910B4A1" wp14:editId="60EE3CC2">
              <wp:simplePos x="0" y="0"/>
              <wp:positionH relativeFrom="page">
                <wp:posOffset>0</wp:posOffset>
              </wp:positionH>
              <wp:positionV relativeFrom="page">
                <wp:posOffset>0</wp:posOffset>
              </wp:positionV>
              <wp:extent cx="7772400" cy="100584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chemeClr val="bg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A4446" id="Rectangle 1" o:spid="_x0000_s1026" style="position:absolute;margin-left:0;margin-top:0;width:612pt;height:1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" o:allowincell="f" fillcolor="#bb141a [3214]" stroked="f" strokecolor="#0072bc [3204]">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2E1" w:rsidRDefault="004B22E1">
    <w:pPr>
      <w:pStyle w:val="Header"/>
    </w:pPr>
    <w:r>
      <w:rPr>
        <w:noProof/>
      </w:rPr>
      <w:drawing>
        <wp:anchor distT="0" distB="0" distL="114300" distR="114300" simplePos="0" relativeHeight="251662848" behindDoc="1" locked="1" layoutInCell="0" allowOverlap="1" wp14:anchorId="2E9DC820" wp14:editId="761351CF">
          <wp:simplePos x="0" y="0"/>
          <wp:positionH relativeFrom="page">
            <wp:posOffset>3543300</wp:posOffset>
          </wp:positionH>
          <wp:positionV relativeFrom="page">
            <wp:posOffset>2838450</wp:posOffset>
          </wp:positionV>
          <wp:extent cx="3876675" cy="3885565"/>
          <wp:effectExtent l="0" t="0" r="9525" b="63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iles CYAN.png"/>
                  <pic:cNvPicPr/>
                </pic:nvPicPr>
                <pic:blipFill>
                  <a:blip r:embed="rId1">
                    <a:extLst>
                      <a:ext uri="{28A0092B-C50C-407E-A947-70E740481C1C}">
                        <a14:useLocalDpi xmlns:a14="http://schemas.microsoft.com/office/drawing/2010/main" val="0"/>
                      </a:ext>
                    </a:extLst>
                  </a:blip>
                  <a:stretch>
                    <a:fillRect/>
                  </a:stretch>
                </pic:blipFill>
                <pic:spPr>
                  <a:xfrm>
                    <a:off x="0" y="0"/>
                    <a:ext cx="3876675" cy="3885565"/>
                  </a:xfrm>
                  <a:prstGeom prst="rect">
                    <a:avLst/>
                  </a:prstGeom>
                </pic:spPr>
              </pic:pic>
            </a:graphicData>
          </a:graphic>
        </wp:anchor>
      </w:drawing>
    </w:r>
    <w:r>
      <w:rPr>
        <w:noProof/>
      </w:rPr>
      <w:drawing>
        <wp:anchor distT="0" distB="0" distL="114300" distR="114300" simplePos="0" relativeHeight="251651584" behindDoc="1" locked="1" layoutInCell="0" allowOverlap="1" wp14:anchorId="5E365866" wp14:editId="65EA37F7">
          <wp:simplePos x="0" y="0"/>
          <wp:positionH relativeFrom="page">
            <wp:posOffset>457200</wp:posOffset>
          </wp:positionH>
          <wp:positionV relativeFrom="page">
            <wp:posOffset>457200</wp:posOffset>
          </wp:positionV>
          <wp:extent cx="1414275" cy="301753"/>
          <wp:effectExtent l="19050" t="0" r="0" b="0"/>
          <wp:wrapNone/>
          <wp:docPr id="7" name="Picture 1" descr="MSFT_logo_rgb_C-Gray_crop_C-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_crop_C-Wht.png"/>
                  <pic:cNvPicPr/>
                </pic:nvPicPr>
                <pic:blipFill>
                  <a:blip r:embed="rId2"/>
                  <a:stretch>
                    <a:fillRect/>
                  </a:stretch>
                </pic:blipFill>
                <pic:spPr>
                  <a:xfrm>
                    <a:off x="0" y="0"/>
                    <a:ext cx="1414275" cy="30175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2E1" w:rsidRDefault="004B22E1" w:rsidP="005A10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0FCC43E"/>
    <w:lvl w:ilvl="0">
      <w:start w:val="1"/>
      <w:numFmt w:val="decimal"/>
      <w:lvlText w:val="%1."/>
      <w:lvlJc w:val="left"/>
      <w:pPr>
        <w:tabs>
          <w:tab w:val="num" w:pos="1800"/>
        </w:tabs>
        <w:ind w:left="1800" w:hanging="360"/>
      </w:pPr>
    </w:lvl>
  </w:abstractNum>
  <w:abstractNum w:abstractNumId="1">
    <w:nsid w:val="FFFFFF7D"/>
    <w:multiLevelType w:val="singleLevel"/>
    <w:tmpl w:val="F8208578"/>
    <w:lvl w:ilvl="0">
      <w:start w:val="1"/>
      <w:numFmt w:val="decimal"/>
      <w:lvlText w:val="%1."/>
      <w:lvlJc w:val="left"/>
      <w:pPr>
        <w:tabs>
          <w:tab w:val="num" w:pos="1440"/>
        </w:tabs>
        <w:ind w:left="1440" w:hanging="360"/>
      </w:pPr>
    </w:lvl>
  </w:abstractNum>
  <w:abstractNum w:abstractNumId="2">
    <w:nsid w:val="FFFFFF7E"/>
    <w:multiLevelType w:val="singleLevel"/>
    <w:tmpl w:val="AE94D44C"/>
    <w:lvl w:ilvl="0">
      <w:start w:val="1"/>
      <w:numFmt w:val="decimal"/>
      <w:lvlText w:val="%1."/>
      <w:lvlJc w:val="left"/>
      <w:pPr>
        <w:tabs>
          <w:tab w:val="num" w:pos="1080"/>
        </w:tabs>
        <w:ind w:left="1080" w:hanging="360"/>
      </w:pPr>
    </w:lvl>
  </w:abstractNum>
  <w:abstractNum w:abstractNumId="3">
    <w:nsid w:val="FFFFFF7F"/>
    <w:multiLevelType w:val="singleLevel"/>
    <w:tmpl w:val="5C88670E"/>
    <w:lvl w:ilvl="0">
      <w:start w:val="1"/>
      <w:numFmt w:val="decimal"/>
      <w:lvlText w:val="%1."/>
      <w:lvlJc w:val="left"/>
      <w:pPr>
        <w:tabs>
          <w:tab w:val="num" w:pos="720"/>
        </w:tabs>
        <w:ind w:left="720" w:hanging="360"/>
      </w:pPr>
    </w:lvl>
  </w:abstractNum>
  <w:abstractNum w:abstractNumId="4">
    <w:nsid w:val="FFFFFF80"/>
    <w:multiLevelType w:val="singleLevel"/>
    <w:tmpl w:val="F352130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8C6341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E26881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2C18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B965BDE"/>
    <w:lvl w:ilvl="0">
      <w:start w:val="1"/>
      <w:numFmt w:val="decimal"/>
      <w:lvlText w:val="%1."/>
      <w:lvlJc w:val="left"/>
      <w:pPr>
        <w:tabs>
          <w:tab w:val="num" w:pos="360"/>
        </w:tabs>
        <w:ind w:left="360" w:hanging="360"/>
      </w:pPr>
    </w:lvl>
  </w:abstractNum>
  <w:abstractNum w:abstractNumId="9">
    <w:nsid w:val="FFFFFF89"/>
    <w:multiLevelType w:val="singleLevel"/>
    <w:tmpl w:val="D0D04FAC"/>
    <w:lvl w:ilvl="0">
      <w:start w:val="1"/>
      <w:numFmt w:val="bullet"/>
      <w:lvlText w:val=""/>
      <w:lvlJc w:val="left"/>
      <w:pPr>
        <w:tabs>
          <w:tab w:val="num" w:pos="360"/>
        </w:tabs>
        <w:ind w:left="360" w:hanging="360"/>
      </w:pPr>
      <w:rPr>
        <w:rFonts w:ascii="Symbol" w:hAnsi="Symbol" w:hint="default"/>
      </w:rPr>
    </w:lvl>
  </w:abstractNum>
  <w:abstractNum w:abstractNumId="10">
    <w:nsid w:val="09495827"/>
    <w:multiLevelType w:val="multilevel"/>
    <w:tmpl w:val="33B89DE0"/>
    <w:numStyleLink w:val="StyleTablebulletOutlinenumberedBody1"/>
  </w:abstractNum>
  <w:abstractNum w:abstractNumId="11">
    <w:nsid w:val="09AC2A8D"/>
    <w:multiLevelType w:val="multilevel"/>
    <w:tmpl w:val="78827B56"/>
    <w:styleLink w:val="Tablebullets"/>
    <w:lvl w:ilvl="0">
      <w:start w:val="1"/>
      <w:numFmt w:val="bullet"/>
      <w:lvlText w:val="•"/>
      <w:lvlJc w:val="left"/>
      <w:pPr>
        <w:ind w:left="720" w:hanging="360"/>
      </w:pPr>
      <w:rPr>
        <w:rFonts w:asciiTheme="minorHAnsi" w:hAnsiTheme="minorHAnsi"/>
        <w:color w:val="8C8C8C"/>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2E2425"/>
    <w:multiLevelType w:val="multilevel"/>
    <w:tmpl w:val="D026C266"/>
    <w:numStyleLink w:val="XXXXXXXX"/>
  </w:abstractNum>
  <w:abstractNum w:abstractNumId="13">
    <w:nsid w:val="0FF26CD1"/>
    <w:multiLevelType w:val="hybridMultilevel"/>
    <w:tmpl w:val="173250A2"/>
    <w:lvl w:ilvl="0" w:tplc="E1DC5780">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A20E3"/>
    <w:multiLevelType w:val="multilevel"/>
    <w:tmpl w:val="33B89DE0"/>
    <w:styleLink w:val="StyleTablebulletOutlinenumberedBody1"/>
    <w:lvl w:ilvl="0">
      <w:start w:val="1"/>
      <w:numFmt w:val="bullet"/>
      <w:lvlText w:val="•"/>
      <w:lvlJc w:val="left"/>
      <w:pPr>
        <w:ind w:left="144" w:hanging="144"/>
      </w:pPr>
      <w:rPr>
        <w:rFonts w:ascii="Times New Roman" w:hAnsi="Times New Roman" w:cs="Times New Roman" w:hint="default"/>
        <w:color w:val="8C8C8C"/>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4CC7ADA"/>
    <w:multiLevelType w:val="multilevel"/>
    <w:tmpl w:val="D026C266"/>
    <w:numStyleLink w:val="XXXXXXXX"/>
  </w:abstractNum>
  <w:abstractNum w:abstractNumId="16">
    <w:nsid w:val="16F44AFB"/>
    <w:multiLevelType w:val="multilevel"/>
    <w:tmpl w:val="D026C266"/>
    <w:numStyleLink w:val="XXXXXXXX"/>
  </w:abstractNum>
  <w:abstractNum w:abstractNumId="17">
    <w:nsid w:val="1F0D6D7F"/>
    <w:multiLevelType w:val="multilevel"/>
    <w:tmpl w:val="78827B56"/>
    <w:numStyleLink w:val="Tablebullet"/>
  </w:abstractNum>
  <w:abstractNum w:abstractNumId="18">
    <w:nsid w:val="1F2F1099"/>
    <w:multiLevelType w:val="multilevel"/>
    <w:tmpl w:val="F9A86258"/>
    <w:lvl w:ilvl="0">
      <w:start w:val="1"/>
      <w:numFmt w:val="bullet"/>
      <w:lvlText w:val=""/>
      <w:lvlJc w:val="left"/>
      <w:pPr>
        <w:tabs>
          <w:tab w:val="num" w:pos="360"/>
        </w:tabs>
        <w:ind w:left="173" w:firstLine="43"/>
      </w:pPr>
      <w:rPr>
        <w:rFonts w:ascii="Symbol" w:hAnsi="Symbol" w:hint="default"/>
        <w:color w:val="auto"/>
        <w:position w:val="3"/>
      </w:rPr>
    </w:lvl>
    <w:lvl w:ilvl="1">
      <w:start w:val="1"/>
      <w:numFmt w:val="bullet"/>
      <w:lvlText w:val=""/>
      <w:lvlJc w:val="left"/>
      <w:pPr>
        <w:ind w:left="792" w:hanging="216"/>
      </w:pPr>
      <w:rPr>
        <w:rFonts w:ascii="Symbol" w:hAnsi="Symbol" w:hint="default"/>
        <w:color w:val="auto"/>
      </w:rPr>
    </w:lvl>
    <w:lvl w:ilvl="2">
      <w:start w:val="1"/>
      <w:numFmt w:val="bullet"/>
      <w:lvlText w:val=""/>
      <w:lvlJc w:val="left"/>
      <w:pPr>
        <w:ind w:left="1008" w:hanging="216"/>
      </w:pPr>
      <w:rPr>
        <w:rFonts w:ascii="Symbol" w:hAnsi="Symbol" w:hint="default"/>
        <w:color w:val="auto"/>
        <w:position w:val="3"/>
      </w:rPr>
    </w:lvl>
    <w:lvl w:ilvl="3">
      <w:start w:val="1"/>
      <w:numFmt w:val="decimal"/>
      <w:lvlText w:val="(%4)"/>
      <w:lvlJc w:val="left"/>
      <w:pPr>
        <w:ind w:left="-180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08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0" w:hanging="360"/>
      </w:pPr>
      <w:rPr>
        <w:rFonts w:hint="default"/>
      </w:rPr>
    </w:lvl>
  </w:abstractNum>
  <w:abstractNum w:abstractNumId="19">
    <w:nsid w:val="205514FA"/>
    <w:multiLevelType w:val="multilevel"/>
    <w:tmpl w:val="78827B56"/>
    <w:numStyleLink w:val="Tablebullets"/>
  </w:abstractNum>
  <w:abstractNum w:abstractNumId="20">
    <w:nsid w:val="23C7482F"/>
    <w:multiLevelType w:val="multilevel"/>
    <w:tmpl w:val="6EAE61DA"/>
    <w:numStyleLink w:val="StyleTablebulletOutlinenumberedBody"/>
  </w:abstractNum>
  <w:abstractNum w:abstractNumId="21">
    <w:nsid w:val="279948B2"/>
    <w:multiLevelType w:val="multilevel"/>
    <w:tmpl w:val="D026C266"/>
    <w:numStyleLink w:val="XXXXXXXX"/>
  </w:abstractNum>
  <w:abstractNum w:abstractNumId="22">
    <w:nsid w:val="29723756"/>
    <w:multiLevelType w:val="multilevel"/>
    <w:tmpl w:val="D026C266"/>
    <w:numStyleLink w:val="XXXXXXXX"/>
  </w:abstractNum>
  <w:abstractNum w:abstractNumId="23">
    <w:nsid w:val="2A6057E0"/>
    <w:multiLevelType w:val="multilevel"/>
    <w:tmpl w:val="D026C266"/>
    <w:numStyleLink w:val="XXXXXXXX"/>
  </w:abstractNum>
  <w:abstractNum w:abstractNumId="24">
    <w:nsid w:val="2C0904CE"/>
    <w:multiLevelType w:val="multilevel"/>
    <w:tmpl w:val="D026C266"/>
    <w:numStyleLink w:val="XXXXXXXX"/>
  </w:abstractNum>
  <w:abstractNum w:abstractNumId="25">
    <w:nsid w:val="32C027E6"/>
    <w:multiLevelType w:val="multilevel"/>
    <w:tmpl w:val="D026C266"/>
    <w:numStyleLink w:val="XXXXXXXX"/>
  </w:abstractNum>
  <w:abstractNum w:abstractNumId="26">
    <w:nsid w:val="34096DC8"/>
    <w:multiLevelType w:val="multilevel"/>
    <w:tmpl w:val="78827B56"/>
    <w:numStyleLink w:val="Tablebullet"/>
  </w:abstractNum>
  <w:abstractNum w:abstractNumId="27">
    <w:nsid w:val="35746F28"/>
    <w:multiLevelType w:val="multilevel"/>
    <w:tmpl w:val="D026C266"/>
    <w:numStyleLink w:val="XXXXXXXX"/>
  </w:abstractNum>
  <w:abstractNum w:abstractNumId="28">
    <w:nsid w:val="36A05596"/>
    <w:multiLevelType w:val="hybridMultilevel"/>
    <w:tmpl w:val="A3C2E770"/>
    <w:lvl w:ilvl="0" w:tplc="78C80166">
      <w:start w:val="1"/>
      <w:numFmt w:val="decimal"/>
      <w:lvlText w:val="%1."/>
      <w:lvlJc w:val="left"/>
      <w:pPr>
        <w:ind w:left="720" w:hanging="360"/>
      </w:pPr>
      <w:rPr>
        <w:color w:val="50505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91655F"/>
    <w:multiLevelType w:val="hybridMultilevel"/>
    <w:tmpl w:val="78827B56"/>
    <w:lvl w:ilvl="0" w:tplc="7BCA77EE">
      <w:start w:val="1"/>
      <w:numFmt w:val="bullet"/>
      <w:lvlText w:val="•"/>
      <w:lvlJc w:val="left"/>
      <w:pPr>
        <w:ind w:left="720" w:hanging="360"/>
      </w:pPr>
      <w:rPr>
        <w:rFonts w:ascii="Arial" w:hAnsi="Arial" w:hint="default"/>
        <w:color w:val="8C8C8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247708"/>
    <w:multiLevelType w:val="multilevel"/>
    <w:tmpl w:val="D026C266"/>
    <w:numStyleLink w:val="XXXXXXXX"/>
  </w:abstractNum>
  <w:abstractNum w:abstractNumId="31">
    <w:nsid w:val="3EDF3282"/>
    <w:multiLevelType w:val="multilevel"/>
    <w:tmpl w:val="D026C266"/>
    <w:numStyleLink w:val="XXXXXXXX"/>
  </w:abstractNum>
  <w:abstractNum w:abstractNumId="32">
    <w:nsid w:val="413978B3"/>
    <w:multiLevelType w:val="multilevel"/>
    <w:tmpl w:val="D026C266"/>
    <w:numStyleLink w:val="XXXXXXXX"/>
  </w:abstractNum>
  <w:abstractNum w:abstractNumId="33">
    <w:nsid w:val="4A3C1952"/>
    <w:multiLevelType w:val="multilevel"/>
    <w:tmpl w:val="D026C266"/>
    <w:numStyleLink w:val="XXXXXXXX"/>
  </w:abstractNum>
  <w:abstractNum w:abstractNumId="34">
    <w:nsid w:val="4AFF5A41"/>
    <w:multiLevelType w:val="multilevel"/>
    <w:tmpl w:val="D026C266"/>
    <w:styleLink w:val="XXXXXXXX"/>
    <w:lvl w:ilvl="0">
      <w:start w:val="1"/>
      <w:numFmt w:val="bullet"/>
      <w:lvlText w:val=""/>
      <w:lvlJc w:val="left"/>
      <w:pPr>
        <w:tabs>
          <w:tab w:val="num" w:pos="360"/>
        </w:tabs>
        <w:ind w:left="173" w:firstLine="43"/>
      </w:pPr>
      <w:rPr>
        <w:rFonts w:ascii="Symbol" w:hAnsi="Symbol" w:hint="default"/>
        <w:color w:val="auto"/>
        <w:position w:val="3"/>
      </w:rPr>
    </w:lvl>
    <w:lvl w:ilvl="1">
      <w:start w:val="1"/>
      <w:numFmt w:val="bullet"/>
      <w:lvlText w:val=""/>
      <w:lvlJc w:val="left"/>
      <w:pPr>
        <w:ind w:left="792" w:hanging="216"/>
      </w:pPr>
      <w:rPr>
        <w:rFonts w:ascii="Symbol" w:hAnsi="Symbol" w:hint="default"/>
        <w:color w:val="auto"/>
      </w:rPr>
    </w:lvl>
    <w:lvl w:ilvl="2">
      <w:start w:val="1"/>
      <w:numFmt w:val="bullet"/>
      <w:lvlText w:val=""/>
      <w:lvlJc w:val="left"/>
      <w:pPr>
        <w:ind w:left="1008" w:hanging="216"/>
      </w:pPr>
      <w:rPr>
        <w:rFonts w:ascii="Symbol" w:hAnsi="Symbol" w:hint="default"/>
        <w:color w:val="auto"/>
        <w:position w:val="3"/>
      </w:rPr>
    </w:lvl>
    <w:lvl w:ilvl="3">
      <w:start w:val="1"/>
      <w:numFmt w:val="decimal"/>
      <w:lvlText w:val="(%4)"/>
      <w:lvlJc w:val="left"/>
      <w:pPr>
        <w:ind w:left="-180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08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0" w:hanging="360"/>
      </w:pPr>
      <w:rPr>
        <w:rFonts w:hint="default"/>
      </w:rPr>
    </w:lvl>
  </w:abstractNum>
  <w:abstractNum w:abstractNumId="35">
    <w:nsid w:val="4C702355"/>
    <w:multiLevelType w:val="multilevel"/>
    <w:tmpl w:val="D026C266"/>
    <w:numStyleLink w:val="XXXXXXXX"/>
  </w:abstractNum>
  <w:abstractNum w:abstractNumId="36">
    <w:nsid w:val="4E432837"/>
    <w:multiLevelType w:val="hybridMultilevel"/>
    <w:tmpl w:val="0FD48140"/>
    <w:lvl w:ilvl="0" w:tplc="D2DCFD6C">
      <w:start w:val="1"/>
      <w:numFmt w:val="bullet"/>
      <w:lvlText w:val="•"/>
      <w:lvlJc w:val="left"/>
      <w:pPr>
        <w:ind w:left="720" w:hanging="360"/>
      </w:pPr>
      <w:rPr>
        <w:rFonts w:ascii="Segoe" w:hAnsi="Segoe" w:hint="default"/>
        <w:b w:val="0"/>
        <w:i w:val="0"/>
        <w:color w:val="505050" w:themeColor="text1"/>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7D36FC"/>
    <w:multiLevelType w:val="multilevel"/>
    <w:tmpl w:val="78827B56"/>
    <w:numStyleLink w:val="Tablebullet"/>
  </w:abstractNum>
  <w:abstractNum w:abstractNumId="38">
    <w:nsid w:val="5E813CF1"/>
    <w:multiLevelType w:val="multilevel"/>
    <w:tmpl w:val="78827B56"/>
    <w:styleLink w:val="Tablebullet"/>
    <w:lvl w:ilvl="0">
      <w:start w:val="1"/>
      <w:numFmt w:val="bullet"/>
      <w:lvlText w:val="•"/>
      <w:lvlJc w:val="left"/>
      <w:pPr>
        <w:ind w:left="720" w:hanging="360"/>
      </w:pPr>
      <w:rPr>
        <w:color w:val="8C8C8C"/>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5CA3D17"/>
    <w:multiLevelType w:val="multilevel"/>
    <w:tmpl w:val="82EABFD8"/>
    <w:lvl w:ilvl="0">
      <w:start w:val="1"/>
      <w:numFmt w:val="bullet"/>
      <w:pStyle w:val="Bodycopybullet"/>
      <w:lvlText w:val=""/>
      <w:lvlJc w:val="left"/>
      <w:pPr>
        <w:ind w:left="677" w:hanging="360"/>
      </w:pPr>
      <w:rPr>
        <w:rFonts w:ascii="Wingdings" w:hAnsi="Wingdings" w:hint="default"/>
        <w:b w:val="0"/>
        <w:i w:val="0"/>
        <w:color w:val="505050" w:themeColor="text1"/>
        <w:position w:val="-2"/>
        <w:sz w:val="18"/>
      </w:rPr>
    </w:lvl>
    <w:lvl w:ilvl="1">
      <w:start w:val="1"/>
      <w:numFmt w:val="bullet"/>
      <w:lvlText w:val=""/>
      <w:lvlJc w:val="left"/>
      <w:pPr>
        <w:ind w:left="965" w:hanging="216"/>
      </w:pPr>
      <w:rPr>
        <w:rFonts w:ascii="Symbol" w:hAnsi="Symbol" w:hint="default"/>
        <w:color w:val="auto"/>
      </w:rPr>
    </w:lvl>
    <w:lvl w:ilvl="2">
      <w:start w:val="1"/>
      <w:numFmt w:val="bullet"/>
      <w:lvlText w:val=""/>
      <w:lvlJc w:val="left"/>
      <w:pPr>
        <w:ind w:left="1181" w:hanging="216"/>
      </w:pPr>
      <w:rPr>
        <w:rFonts w:ascii="Symbol" w:hAnsi="Symbol" w:hint="default"/>
        <w:color w:val="auto"/>
        <w:position w:val="3"/>
      </w:rPr>
    </w:lvl>
    <w:lvl w:ilvl="3">
      <w:start w:val="1"/>
      <w:numFmt w:val="decimal"/>
      <w:lvlText w:val="(%4)"/>
      <w:lvlJc w:val="left"/>
      <w:pPr>
        <w:ind w:left="-1627" w:hanging="360"/>
      </w:pPr>
      <w:rPr>
        <w:rFonts w:hint="default"/>
      </w:rPr>
    </w:lvl>
    <w:lvl w:ilvl="4">
      <w:start w:val="1"/>
      <w:numFmt w:val="lowerLetter"/>
      <w:lvlText w:val="(%5)"/>
      <w:lvlJc w:val="left"/>
      <w:pPr>
        <w:ind w:left="-1267" w:hanging="360"/>
      </w:pPr>
      <w:rPr>
        <w:rFonts w:hint="default"/>
      </w:rPr>
    </w:lvl>
    <w:lvl w:ilvl="5">
      <w:start w:val="1"/>
      <w:numFmt w:val="lowerRoman"/>
      <w:lvlText w:val="(%6)"/>
      <w:lvlJc w:val="left"/>
      <w:pPr>
        <w:ind w:left="-907" w:hanging="360"/>
      </w:pPr>
      <w:rPr>
        <w:rFonts w:hint="default"/>
      </w:rPr>
    </w:lvl>
    <w:lvl w:ilvl="6">
      <w:start w:val="1"/>
      <w:numFmt w:val="decimal"/>
      <w:lvlText w:val="%7."/>
      <w:lvlJc w:val="left"/>
      <w:pPr>
        <w:ind w:left="-547" w:hanging="360"/>
      </w:pPr>
      <w:rPr>
        <w:rFonts w:hint="default"/>
      </w:rPr>
    </w:lvl>
    <w:lvl w:ilvl="7">
      <w:start w:val="1"/>
      <w:numFmt w:val="lowerLetter"/>
      <w:lvlText w:val="%8."/>
      <w:lvlJc w:val="left"/>
      <w:pPr>
        <w:ind w:left="-187" w:hanging="360"/>
      </w:pPr>
      <w:rPr>
        <w:rFonts w:hint="default"/>
      </w:rPr>
    </w:lvl>
    <w:lvl w:ilvl="8">
      <w:start w:val="1"/>
      <w:numFmt w:val="lowerRoman"/>
      <w:lvlText w:val="%9."/>
      <w:lvlJc w:val="left"/>
      <w:pPr>
        <w:ind w:left="173" w:hanging="360"/>
      </w:pPr>
      <w:rPr>
        <w:rFonts w:hint="default"/>
      </w:rPr>
    </w:lvl>
  </w:abstractNum>
  <w:abstractNum w:abstractNumId="40">
    <w:nsid w:val="692329A6"/>
    <w:multiLevelType w:val="hybridMultilevel"/>
    <w:tmpl w:val="0384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042F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5366C23"/>
    <w:multiLevelType w:val="multilevel"/>
    <w:tmpl w:val="78827B56"/>
    <w:numStyleLink w:val="Tablebullet"/>
  </w:abstractNum>
  <w:abstractNum w:abstractNumId="43">
    <w:nsid w:val="75B327D6"/>
    <w:multiLevelType w:val="multilevel"/>
    <w:tmpl w:val="78827B56"/>
    <w:numStyleLink w:val="Tablebullet"/>
  </w:abstractNum>
  <w:abstractNum w:abstractNumId="44">
    <w:nsid w:val="77EA11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B6059F7"/>
    <w:multiLevelType w:val="multilevel"/>
    <w:tmpl w:val="6EAE61DA"/>
    <w:styleLink w:val="StyleTablebulletOutlinenumberedBody"/>
    <w:lvl w:ilvl="0">
      <w:start w:val="1"/>
      <w:numFmt w:val="bullet"/>
      <w:lvlText w:val="•"/>
      <w:lvlJc w:val="left"/>
      <w:pPr>
        <w:ind w:left="144" w:hanging="144"/>
      </w:pPr>
      <w:rPr>
        <w:rFonts w:ascii="Times New Roman" w:hAnsi="Times New Roman" w:cs="Times New Roman" w:hint="default"/>
        <w:color w:val="505050"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C56396D"/>
    <w:multiLevelType w:val="multilevel"/>
    <w:tmpl w:val="D026C266"/>
    <w:numStyleLink w:val="XXXXXXXX"/>
  </w:abstractNum>
  <w:num w:numId="1">
    <w:abstractNumId w:val="41"/>
  </w:num>
  <w:num w:numId="2">
    <w:abstractNumId w:val="34"/>
  </w:num>
  <w:num w:numId="3">
    <w:abstractNumId w:val="31"/>
  </w:num>
  <w:num w:numId="4">
    <w:abstractNumId w:val="16"/>
  </w:num>
  <w:num w:numId="5">
    <w:abstractNumId w:val="22"/>
  </w:num>
  <w:num w:numId="6">
    <w:abstractNumId w:val="33"/>
  </w:num>
  <w:num w:numId="7">
    <w:abstractNumId w:val="30"/>
  </w:num>
  <w:num w:numId="8">
    <w:abstractNumId w:val="25"/>
  </w:num>
  <w:num w:numId="9">
    <w:abstractNumId w:val="32"/>
  </w:num>
  <w:num w:numId="10">
    <w:abstractNumId w:val="12"/>
  </w:num>
  <w:num w:numId="11">
    <w:abstractNumId w:val="21"/>
  </w:num>
  <w:num w:numId="12">
    <w:abstractNumId w:val="40"/>
  </w:num>
  <w:num w:numId="13">
    <w:abstractNumId w:val="15"/>
  </w:num>
  <w:num w:numId="14">
    <w:abstractNumId w:val="27"/>
  </w:num>
  <w:num w:numId="15">
    <w:abstractNumId w:val="24"/>
  </w:num>
  <w:num w:numId="16">
    <w:abstractNumId w:val="44"/>
  </w:num>
  <w:num w:numId="17">
    <w:abstractNumId w:val="35"/>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3"/>
  </w:num>
  <w:num w:numId="29">
    <w:abstractNumId w:val="46"/>
  </w:num>
  <w:num w:numId="30">
    <w:abstractNumId w:val="18"/>
  </w:num>
  <w:num w:numId="31">
    <w:abstractNumId w:val="39"/>
  </w:num>
  <w:num w:numId="32">
    <w:abstractNumId w:val="29"/>
  </w:num>
  <w:num w:numId="33">
    <w:abstractNumId w:val="38"/>
  </w:num>
  <w:num w:numId="34">
    <w:abstractNumId w:val="26"/>
  </w:num>
  <w:num w:numId="35">
    <w:abstractNumId w:val="37"/>
  </w:num>
  <w:num w:numId="36">
    <w:abstractNumId w:val="11"/>
  </w:num>
  <w:num w:numId="37">
    <w:abstractNumId w:val="19"/>
  </w:num>
  <w:num w:numId="38">
    <w:abstractNumId w:val="45"/>
  </w:num>
  <w:num w:numId="39">
    <w:abstractNumId w:val="20"/>
  </w:num>
  <w:num w:numId="40">
    <w:abstractNumId w:val="42"/>
  </w:num>
  <w:num w:numId="41">
    <w:abstractNumId w:val="14"/>
  </w:num>
  <w:num w:numId="42">
    <w:abstractNumId w:val="10"/>
  </w:num>
  <w:num w:numId="43">
    <w:abstractNumId w:val="17"/>
  </w:num>
  <w:num w:numId="44">
    <w:abstractNumId w:val="43"/>
  </w:num>
  <w:num w:numId="45">
    <w:abstractNumId w:val="36"/>
  </w:num>
  <w:num w:numId="46">
    <w:abstractNumId w:val="1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removePersonalInformation/>
  <w:removeDateAndTime/>
  <w:embedTrueTypeFonts/>
  <w:saveSubsetFonts/>
  <w:hideSpellingErrors/>
  <w:hideGrammaticalErrors/>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DB5"/>
    <w:rsid w:val="00003CCA"/>
    <w:rsid w:val="00006336"/>
    <w:rsid w:val="00010464"/>
    <w:rsid w:val="00012768"/>
    <w:rsid w:val="00022972"/>
    <w:rsid w:val="000363FC"/>
    <w:rsid w:val="00037AE9"/>
    <w:rsid w:val="0004225C"/>
    <w:rsid w:val="00044244"/>
    <w:rsid w:val="00045479"/>
    <w:rsid w:val="00051510"/>
    <w:rsid w:val="00054EF4"/>
    <w:rsid w:val="00057D5A"/>
    <w:rsid w:val="00067B80"/>
    <w:rsid w:val="00070C52"/>
    <w:rsid w:val="00080024"/>
    <w:rsid w:val="00080884"/>
    <w:rsid w:val="00082080"/>
    <w:rsid w:val="00083C14"/>
    <w:rsid w:val="00085C7C"/>
    <w:rsid w:val="00086E21"/>
    <w:rsid w:val="0009032F"/>
    <w:rsid w:val="0009214C"/>
    <w:rsid w:val="00093BB6"/>
    <w:rsid w:val="00093CAF"/>
    <w:rsid w:val="00095F1F"/>
    <w:rsid w:val="000A415F"/>
    <w:rsid w:val="000A4417"/>
    <w:rsid w:val="000A5F8D"/>
    <w:rsid w:val="000B104E"/>
    <w:rsid w:val="000B40B5"/>
    <w:rsid w:val="000B4532"/>
    <w:rsid w:val="000B5E8C"/>
    <w:rsid w:val="000C1571"/>
    <w:rsid w:val="000D1531"/>
    <w:rsid w:val="000D218E"/>
    <w:rsid w:val="000D5496"/>
    <w:rsid w:val="000D7002"/>
    <w:rsid w:val="000E0AD0"/>
    <w:rsid w:val="000E0C1B"/>
    <w:rsid w:val="000F0F4D"/>
    <w:rsid w:val="000F35A3"/>
    <w:rsid w:val="000F401D"/>
    <w:rsid w:val="000F604B"/>
    <w:rsid w:val="000F7D3D"/>
    <w:rsid w:val="00105B2C"/>
    <w:rsid w:val="00113C4D"/>
    <w:rsid w:val="001151FE"/>
    <w:rsid w:val="00122BA3"/>
    <w:rsid w:val="00122BCA"/>
    <w:rsid w:val="001302D5"/>
    <w:rsid w:val="001320E4"/>
    <w:rsid w:val="0014197D"/>
    <w:rsid w:val="00144A14"/>
    <w:rsid w:val="00144F68"/>
    <w:rsid w:val="00147EA4"/>
    <w:rsid w:val="001560F2"/>
    <w:rsid w:val="001565F6"/>
    <w:rsid w:val="00161E3F"/>
    <w:rsid w:val="00163828"/>
    <w:rsid w:val="0017119C"/>
    <w:rsid w:val="001712AE"/>
    <w:rsid w:val="001714A7"/>
    <w:rsid w:val="00173753"/>
    <w:rsid w:val="0018021B"/>
    <w:rsid w:val="0018335F"/>
    <w:rsid w:val="00184A9B"/>
    <w:rsid w:val="00192A22"/>
    <w:rsid w:val="00192B86"/>
    <w:rsid w:val="001947B6"/>
    <w:rsid w:val="00197964"/>
    <w:rsid w:val="001A48E5"/>
    <w:rsid w:val="001B2388"/>
    <w:rsid w:val="001B50A5"/>
    <w:rsid w:val="001B790A"/>
    <w:rsid w:val="001C0879"/>
    <w:rsid w:val="001D0946"/>
    <w:rsid w:val="001D5732"/>
    <w:rsid w:val="001D7744"/>
    <w:rsid w:val="001E2712"/>
    <w:rsid w:val="001E611B"/>
    <w:rsid w:val="001F36B8"/>
    <w:rsid w:val="00201FBC"/>
    <w:rsid w:val="00206901"/>
    <w:rsid w:val="002079BF"/>
    <w:rsid w:val="00207EF2"/>
    <w:rsid w:val="00210556"/>
    <w:rsid w:val="00211D92"/>
    <w:rsid w:val="00221059"/>
    <w:rsid w:val="00222783"/>
    <w:rsid w:val="00223038"/>
    <w:rsid w:val="00233A1B"/>
    <w:rsid w:val="0023552C"/>
    <w:rsid w:val="00236DA7"/>
    <w:rsid w:val="002438DC"/>
    <w:rsid w:val="00245329"/>
    <w:rsid w:val="00246795"/>
    <w:rsid w:val="0026164D"/>
    <w:rsid w:val="00262635"/>
    <w:rsid w:val="00262DBC"/>
    <w:rsid w:val="00262DF2"/>
    <w:rsid w:val="002675E1"/>
    <w:rsid w:val="00273898"/>
    <w:rsid w:val="00273C29"/>
    <w:rsid w:val="00275C05"/>
    <w:rsid w:val="00280976"/>
    <w:rsid w:val="00293454"/>
    <w:rsid w:val="002941CA"/>
    <w:rsid w:val="002A6B5D"/>
    <w:rsid w:val="002B0C70"/>
    <w:rsid w:val="002B2EE1"/>
    <w:rsid w:val="002B63D0"/>
    <w:rsid w:val="002C027A"/>
    <w:rsid w:val="002C1C6D"/>
    <w:rsid w:val="002D5C6D"/>
    <w:rsid w:val="002E0C2D"/>
    <w:rsid w:val="002E5A9E"/>
    <w:rsid w:val="002F19A6"/>
    <w:rsid w:val="002F278D"/>
    <w:rsid w:val="0030292A"/>
    <w:rsid w:val="003039D6"/>
    <w:rsid w:val="00306F7F"/>
    <w:rsid w:val="00307A3E"/>
    <w:rsid w:val="00311709"/>
    <w:rsid w:val="00322028"/>
    <w:rsid w:val="00336787"/>
    <w:rsid w:val="00341DFE"/>
    <w:rsid w:val="00341ED4"/>
    <w:rsid w:val="00341EDE"/>
    <w:rsid w:val="00343E45"/>
    <w:rsid w:val="003456C2"/>
    <w:rsid w:val="00345735"/>
    <w:rsid w:val="00346C2E"/>
    <w:rsid w:val="003521D6"/>
    <w:rsid w:val="00363169"/>
    <w:rsid w:val="00363892"/>
    <w:rsid w:val="00370267"/>
    <w:rsid w:val="00381C71"/>
    <w:rsid w:val="00391020"/>
    <w:rsid w:val="00391C21"/>
    <w:rsid w:val="00394E58"/>
    <w:rsid w:val="003A1858"/>
    <w:rsid w:val="003A41F9"/>
    <w:rsid w:val="003A6BF9"/>
    <w:rsid w:val="003A7C1F"/>
    <w:rsid w:val="003B0685"/>
    <w:rsid w:val="003C52D9"/>
    <w:rsid w:val="003C5FAF"/>
    <w:rsid w:val="003C6FE9"/>
    <w:rsid w:val="003D78AB"/>
    <w:rsid w:val="003D7B0D"/>
    <w:rsid w:val="003E26C3"/>
    <w:rsid w:val="003E6663"/>
    <w:rsid w:val="003E72E6"/>
    <w:rsid w:val="003E7A07"/>
    <w:rsid w:val="003F080B"/>
    <w:rsid w:val="003F21AD"/>
    <w:rsid w:val="003F343D"/>
    <w:rsid w:val="003F5088"/>
    <w:rsid w:val="003F53A7"/>
    <w:rsid w:val="003F62CE"/>
    <w:rsid w:val="00414D2C"/>
    <w:rsid w:val="00420802"/>
    <w:rsid w:val="00424A3B"/>
    <w:rsid w:val="00426E9D"/>
    <w:rsid w:val="00441244"/>
    <w:rsid w:val="004447D4"/>
    <w:rsid w:val="004478FF"/>
    <w:rsid w:val="00447A21"/>
    <w:rsid w:val="00452D4A"/>
    <w:rsid w:val="00464193"/>
    <w:rsid w:val="00467E88"/>
    <w:rsid w:val="00472351"/>
    <w:rsid w:val="004742E1"/>
    <w:rsid w:val="00475F71"/>
    <w:rsid w:val="00477A4C"/>
    <w:rsid w:val="00490842"/>
    <w:rsid w:val="00494596"/>
    <w:rsid w:val="0049562E"/>
    <w:rsid w:val="00497103"/>
    <w:rsid w:val="00497B7B"/>
    <w:rsid w:val="004A446A"/>
    <w:rsid w:val="004A71C7"/>
    <w:rsid w:val="004B22E1"/>
    <w:rsid w:val="004B2320"/>
    <w:rsid w:val="004B2A0D"/>
    <w:rsid w:val="004B4681"/>
    <w:rsid w:val="004B7DAD"/>
    <w:rsid w:val="004C4213"/>
    <w:rsid w:val="004D05F5"/>
    <w:rsid w:val="004D1F10"/>
    <w:rsid w:val="004D28B2"/>
    <w:rsid w:val="004D5D4E"/>
    <w:rsid w:val="004E63AF"/>
    <w:rsid w:val="004F547B"/>
    <w:rsid w:val="00502675"/>
    <w:rsid w:val="00502715"/>
    <w:rsid w:val="0050531A"/>
    <w:rsid w:val="00513116"/>
    <w:rsid w:val="005156B4"/>
    <w:rsid w:val="00522135"/>
    <w:rsid w:val="0052723A"/>
    <w:rsid w:val="00532ACA"/>
    <w:rsid w:val="005435B3"/>
    <w:rsid w:val="00544E24"/>
    <w:rsid w:val="0054501C"/>
    <w:rsid w:val="005521D6"/>
    <w:rsid w:val="00552D58"/>
    <w:rsid w:val="00564FFE"/>
    <w:rsid w:val="00570EA2"/>
    <w:rsid w:val="0057265E"/>
    <w:rsid w:val="00573C5F"/>
    <w:rsid w:val="00576950"/>
    <w:rsid w:val="00580503"/>
    <w:rsid w:val="00586265"/>
    <w:rsid w:val="005913F4"/>
    <w:rsid w:val="00593BCA"/>
    <w:rsid w:val="00593D71"/>
    <w:rsid w:val="005945F1"/>
    <w:rsid w:val="005A10D2"/>
    <w:rsid w:val="005A633F"/>
    <w:rsid w:val="005B011C"/>
    <w:rsid w:val="005B0E1B"/>
    <w:rsid w:val="005B1418"/>
    <w:rsid w:val="005C38D2"/>
    <w:rsid w:val="005D4CAC"/>
    <w:rsid w:val="005D609C"/>
    <w:rsid w:val="005E0B3B"/>
    <w:rsid w:val="005E1454"/>
    <w:rsid w:val="005E1EC4"/>
    <w:rsid w:val="005F34D6"/>
    <w:rsid w:val="005F3E56"/>
    <w:rsid w:val="006005EF"/>
    <w:rsid w:val="00611BD1"/>
    <w:rsid w:val="006139E8"/>
    <w:rsid w:val="006168D4"/>
    <w:rsid w:val="00616955"/>
    <w:rsid w:val="00616C6F"/>
    <w:rsid w:val="00624BA5"/>
    <w:rsid w:val="0063781A"/>
    <w:rsid w:val="00641BD9"/>
    <w:rsid w:val="006432E4"/>
    <w:rsid w:val="006434AF"/>
    <w:rsid w:val="00653C58"/>
    <w:rsid w:val="00654875"/>
    <w:rsid w:val="00655C1F"/>
    <w:rsid w:val="00656F11"/>
    <w:rsid w:val="00667D76"/>
    <w:rsid w:val="00673CC9"/>
    <w:rsid w:val="006745F4"/>
    <w:rsid w:val="0067506F"/>
    <w:rsid w:val="0068051E"/>
    <w:rsid w:val="006807B8"/>
    <w:rsid w:val="00684AE4"/>
    <w:rsid w:val="0069496F"/>
    <w:rsid w:val="006953BE"/>
    <w:rsid w:val="0069730C"/>
    <w:rsid w:val="006A20DF"/>
    <w:rsid w:val="006A25AF"/>
    <w:rsid w:val="006A7926"/>
    <w:rsid w:val="006A7E0B"/>
    <w:rsid w:val="006B0010"/>
    <w:rsid w:val="006B4BD1"/>
    <w:rsid w:val="006C0B61"/>
    <w:rsid w:val="006C7258"/>
    <w:rsid w:val="006C7ADD"/>
    <w:rsid w:val="006D35D9"/>
    <w:rsid w:val="006E4584"/>
    <w:rsid w:val="006F0F4B"/>
    <w:rsid w:val="006F43F7"/>
    <w:rsid w:val="0070052F"/>
    <w:rsid w:val="007026B6"/>
    <w:rsid w:val="00703527"/>
    <w:rsid w:val="00710833"/>
    <w:rsid w:val="00723B98"/>
    <w:rsid w:val="00724715"/>
    <w:rsid w:val="007264E0"/>
    <w:rsid w:val="00743B87"/>
    <w:rsid w:val="007609E2"/>
    <w:rsid w:val="00774945"/>
    <w:rsid w:val="0078176E"/>
    <w:rsid w:val="00781C30"/>
    <w:rsid w:val="007869F7"/>
    <w:rsid w:val="0079025D"/>
    <w:rsid w:val="00790488"/>
    <w:rsid w:val="00795D10"/>
    <w:rsid w:val="007A034D"/>
    <w:rsid w:val="007A32DD"/>
    <w:rsid w:val="007A5827"/>
    <w:rsid w:val="007B5F35"/>
    <w:rsid w:val="007B6665"/>
    <w:rsid w:val="007C4452"/>
    <w:rsid w:val="007C450D"/>
    <w:rsid w:val="007C65FE"/>
    <w:rsid w:val="007D089E"/>
    <w:rsid w:val="007E0E51"/>
    <w:rsid w:val="007E18CB"/>
    <w:rsid w:val="007E5112"/>
    <w:rsid w:val="007F2422"/>
    <w:rsid w:val="007F403A"/>
    <w:rsid w:val="007F521C"/>
    <w:rsid w:val="007F5F22"/>
    <w:rsid w:val="007F693F"/>
    <w:rsid w:val="0080437A"/>
    <w:rsid w:val="008107E5"/>
    <w:rsid w:val="00811007"/>
    <w:rsid w:val="0081193B"/>
    <w:rsid w:val="008138C4"/>
    <w:rsid w:val="0081433A"/>
    <w:rsid w:val="008208DD"/>
    <w:rsid w:val="00826023"/>
    <w:rsid w:val="00835A8C"/>
    <w:rsid w:val="00861D29"/>
    <w:rsid w:val="00871484"/>
    <w:rsid w:val="008727F6"/>
    <w:rsid w:val="0087544E"/>
    <w:rsid w:val="00875A01"/>
    <w:rsid w:val="008850D9"/>
    <w:rsid w:val="00886AB1"/>
    <w:rsid w:val="008966E1"/>
    <w:rsid w:val="008A0DB5"/>
    <w:rsid w:val="008A191C"/>
    <w:rsid w:val="008A6304"/>
    <w:rsid w:val="008B6D6F"/>
    <w:rsid w:val="008B756F"/>
    <w:rsid w:val="008C14E7"/>
    <w:rsid w:val="008C2AB2"/>
    <w:rsid w:val="008C41F5"/>
    <w:rsid w:val="008C7774"/>
    <w:rsid w:val="008D2A85"/>
    <w:rsid w:val="008D4FD7"/>
    <w:rsid w:val="008D5E62"/>
    <w:rsid w:val="008D7B41"/>
    <w:rsid w:val="008E316B"/>
    <w:rsid w:val="008E4D56"/>
    <w:rsid w:val="008E7C1A"/>
    <w:rsid w:val="008F106E"/>
    <w:rsid w:val="008F1AA6"/>
    <w:rsid w:val="008F7C72"/>
    <w:rsid w:val="00900EA6"/>
    <w:rsid w:val="00906D63"/>
    <w:rsid w:val="009244FA"/>
    <w:rsid w:val="00925FB8"/>
    <w:rsid w:val="00933994"/>
    <w:rsid w:val="00934C31"/>
    <w:rsid w:val="009372D0"/>
    <w:rsid w:val="00937C88"/>
    <w:rsid w:val="00947C31"/>
    <w:rsid w:val="00947D2F"/>
    <w:rsid w:val="009543D1"/>
    <w:rsid w:val="009558A6"/>
    <w:rsid w:val="00956F6A"/>
    <w:rsid w:val="00975CC6"/>
    <w:rsid w:val="00980460"/>
    <w:rsid w:val="00982735"/>
    <w:rsid w:val="009848B1"/>
    <w:rsid w:val="00993F68"/>
    <w:rsid w:val="00994542"/>
    <w:rsid w:val="00996E73"/>
    <w:rsid w:val="009A36EB"/>
    <w:rsid w:val="009A5E0A"/>
    <w:rsid w:val="009B229D"/>
    <w:rsid w:val="009C1138"/>
    <w:rsid w:val="009C4BA4"/>
    <w:rsid w:val="009C58B5"/>
    <w:rsid w:val="009C789B"/>
    <w:rsid w:val="009D04E4"/>
    <w:rsid w:val="009D1010"/>
    <w:rsid w:val="009D2449"/>
    <w:rsid w:val="009D31D2"/>
    <w:rsid w:val="009D31E6"/>
    <w:rsid w:val="00A04183"/>
    <w:rsid w:val="00A1158D"/>
    <w:rsid w:val="00A262E9"/>
    <w:rsid w:val="00A26EE0"/>
    <w:rsid w:val="00A31768"/>
    <w:rsid w:val="00A328D0"/>
    <w:rsid w:val="00A339D2"/>
    <w:rsid w:val="00A3577D"/>
    <w:rsid w:val="00A415BF"/>
    <w:rsid w:val="00A44958"/>
    <w:rsid w:val="00A50561"/>
    <w:rsid w:val="00A51034"/>
    <w:rsid w:val="00A529F2"/>
    <w:rsid w:val="00A54589"/>
    <w:rsid w:val="00A5477D"/>
    <w:rsid w:val="00A56A4F"/>
    <w:rsid w:val="00A57CA1"/>
    <w:rsid w:val="00A62AC6"/>
    <w:rsid w:val="00A6353A"/>
    <w:rsid w:val="00A6500E"/>
    <w:rsid w:val="00A70952"/>
    <w:rsid w:val="00A82AAA"/>
    <w:rsid w:val="00A85485"/>
    <w:rsid w:val="00A87994"/>
    <w:rsid w:val="00A92197"/>
    <w:rsid w:val="00A93804"/>
    <w:rsid w:val="00A97E26"/>
    <w:rsid w:val="00AA4C6B"/>
    <w:rsid w:val="00AA561D"/>
    <w:rsid w:val="00AB75D3"/>
    <w:rsid w:val="00AC06B9"/>
    <w:rsid w:val="00AC09CC"/>
    <w:rsid w:val="00AC3D1B"/>
    <w:rsid w:val="00AC4E93"/>
    <w:rsid w:val="00AC7A88"/>
    <w:rsid w:val="00AD2320"/>
    <w:rsid w:val="00AD5420"/>
    <w:rsid w:val="00AD55B5"/>
    <w:rsid w:val="00AD5857"/>
    <w:rsid w:val="00AD66C6"/>
    <w:rsid w:val="00AE22C0"/>
    <w:rsid w:val="00AE2484"/>
    <w:rsid w:val="00AE5077"/>
    <w:rsid w:val="00AE50C2"/>
    <w:rsid w:val="00AE5DB5"/>
    <w:rsid w:val="00AF211D"/>
    <w:rsid w:val="00AF268D"/>
    <w:rsid w:val="00AF59E2"/>
    <w:rsid w:val="00B012A7"/>
    <w:rsid w:val="00B01383"/>
    <w:rsid w:val="00B12FDA"/>
    <w:rsid w:val="00B16A0C"/>
    <w:rsid w:val="00B22AFA"/>
    <w:rsid w:val="00B34CB1"/>
    <w:rsid w:val="00B35EC7"/>
    <w:rsid w:val="00B40E5D"/>
    <w:rsid w:val="00B451E5"/>
    <w:rsid w:val="00B513A5"/>
    <w:rsid w:val="00B53579"/>
    <w:rsid w:val="00B651C0"/>
    <w:rsid w:val="00B6663A"/>
    <w:rsid w:val="00B735BD"/>
    <w:rsid w:val="00B747E6"/>
    <w:rsid w:val="00B74C06"/>
    <w:rsid w:val="00B74E5C"/>
    <w:rsid w:val="00B85889"/>
    <w:rsid w:val="00B921B0"/>
    <w:rsid w:val="00B93B76"/>
    <w:rsid w:val="00BA1ADB"/>
    <w:rsid w:val="00BB11A8"/>
    <w:rsid w:val="00BB6166"/>
    <w:rsid w:val="00BB6AAB"/>
    <w:rsid w:val="00BB70B9"/>
    <w:rsid w:val="00BC3E17"/>
    <w:rsid w:val="00BD2232"/>
    <w:rsid w:val="00BD4E74"/>
    <w:rsid w:val="00BD6F07"/>
    <w:rsid w:val="00BD7328"/>
    <w:rsid w:val="00BE1348"/>
    <w:rsid w:val="00BE13DE"/>
    <w:rsid w:val="00BE1590"/>
    <w:rsid w:val="00BE4B5B"/>
    <w:rsid w:val="00BE4FF8"/>
    <w:rsid w:val="00BF06B5"/>
    <w:rsid w:val="00BF4D7C"/>
    <w:rsid w:val="00BF5182"/>
    <w:rsid w:val="00BF55BD"/>
    <w:rsid w:val="00BF6044"/>
    <w:rsid w:val="00C11A66"/>
    <w:rsid w:val="00C1313B"/>
    <w:rsid w:val="00C16E5E"/>
    <w:rsid w:val="00C31EE4"/>
    <w:rsid w:val="00C43ACE"/>
    <w:rsid w:val="00C44050"/>
    <w:rsid w:val="00C46819"/>
    <w:rsid w:val="00C527F0"/>
    <w:rsid w:val="00C53F8F"/>
    <w:rsid w:val="00C601C5"/>
    <w:rsid w:val="00C60EA2"/>
    <w:rsid w:val="00C61ACA"/>
    <w:rsid w:val="00C61FE9"/>
    <w:rsid w:val="00C62134"/>
    <w:rsid w:val="00C76196"/>
    <w:rsid w:val="00C77B68"/>
    <w:rsid w:val="00C823E1"/>
    <w:rsid w:val="00C82DC1"/>
    <w:rsid w:val="00C91A1F"/>
    <w:rsid w:val="00C91BBF"/>
    <w:rsid w:val="00C93D7D"/>
    <w:rsid w:val="00C942FF"/>
    <w:rsid w:val="00CA00D6"/>
    <w:rsid w:val="00CA1D22"/>
    <w:rsid w:val="00CA2577"/>
    <w:rsid w:val="00CA3A19"/>
    <w:rsid w:val="00CB5897"/>
    <w:rsid w:val="00CB64D0"/>
    <w:rsid w:val="00CB6B65"/>
    <w:rsid w:val="00CB7F1E"/>
    <w:rsid w:val="00CD3121"/>
    <w:rsid w:val="00CD57DD"/>
    <w:rsid w:val="00CD7D1E"/>
    <w:rsid w:val="00CE092C"/>
    <w:rsid w:val="00CE22CB"/>
    <w:rsid w:val="00CE4EDA"/>
    <w:rsid w:val="00CE5D15"/>
    <w:rsid w:val="00D02DDC"/>
    <w:rsid w:val="00D1103D"/>
    <w:rsid w:val="00D16F45"/>
    <w:rsid w:val="00D17847"/>
    <w:rsid w:val="00D21FFA"/>
    <w:rsid w:val="00D22D8E"/>
    <w:rsid w:val="00D25994"/>
    <w:rsid w:val="00D3296B"/>
    <w:rsid w:val="00D343AF"/>
    <w:rsid w:val="00D35186"/>
    <w:rsid w:val="00D37114"/>
    <w:rsid w:val="00D40ADB"/>
    <w:rsid w:val="00D45FF5"/>
    <w:rsid w:val="00D5684A"/>
    <w:rsid w:val="00D5705D"/>
    <w:rsid w:val="00D57584"/>
    <w:rsid w:val="00D57A94"/>
    <w:rsid w:val="00D6019F"/>
    <w:rsid w:val="00D601CD"/>
    <w:rsid w:val="00D648BC"/>
    <w:rsid w:val="00D64A9A"/>
    <w:rsid w:val="00D651AC"/>
    <w:rsid w:val="00D65AE7"/>
    <w:rsid w:val="00D7155F"/>
    <w:rsid w:val="00D721D9"/>
    <w:rsid w:val="00D7604D"/>
    <w:rsid w:val="00D76F2D"/>
    <w:rsid w:val="00D83A4F"/>
    <w:rsid w:val="00D84887"/>
    <w:rsid w:val="00D91938"/>
    <w:rsid w:val="00DB3AF6"/>
    <w:rsid w:val="00DB53C8"/>
    <w:rsid w:val="00DB7E20"/>
    <w:rsid w:val="00DC0275"/>
    <w:rsid w:val="00DC26FB"/>
    <w:rsid w:val="00DC55CC"/>
    <w:rsid w:val="00DD542E"/>
    <w:rsid w:val="00DE29A3"/>
    <w:rsid w:val="00DE7416"/>
    <w:rsid w:val="00DF0FBD"/>
    <w:rsid w:val="00DF3B43"/>
    <w:rsid w:val="00DF4644"/>
    <w:rsid w:val="00E14053"/>
    <w:rsid w:val="00E14C28"/>
    <w:rsid w:val="00E205B1"/>
    <w:rsid w:val="00E2228B"/>
    <w:rsid w:val="00E25B37"/>
    <w:rsid w:val="00E337AB"/>
    <w:rsid w:val="00E351FC"/>
    <w:rsid w:val="00E41FE3"/>
    <w:rsid w:val="00E44D15"/>
    <w:rsid w:val="00E4674B"/>
    <w:rsid w:val="00E51E31"/>
    <w:rsid w:val="00E52AB1"/>
    <w:rsid w:val="00E53FB3"/>
    <w:rsid w:val="00E55812"/>
    <w:rsid w:val="00E60336"/>
    <w:rsid w:val="00E62312"/>
    <w:rsid w:val="00E67136"/>
    <w:rsid w:val="00E671DF"/>
    <w:rsid w:val="00E72867"/>
    <w:rsid w:val="00E7478E"/>
    <w:rsid w:val="00E77676"/>
    <w:rsid w:val="00E825E0"/>
    <w:rsid w:val="00E87443"/>
    <w:rsid w:val="00E9042E"/>
    <w:rsid w:val="00E94EC4"/>
    <w:rsid w:val="00EA5EA0"/>
    <w:rsid w:val="00EA78A6"/>
    <w:rsid w:val="00EB31F7"/>
    <w:rsid w:val="00EC5F9D"/>
    <w:rsid w:val="00EC7BD6"/>
    <w:rsid w:val="00ED5D7F"/>
    <w:rsid w:val="00ED6FE9"/>
    <w:rsid w:val="00EE0221"/>
    <w:rsid w:val="00EE2D6B"/>
    <w:rsid w:val="00EE59A4"/>
    <w:rsid w:val="00EF3635"/>
    <w:rsid w:val="00F012BD"/>
    <w:rsid w:val="00F215EA"/>
    <w:rsid w:val="00F2422A"/>
    <w:rsid w:val="00F256DB"/>
    <w:rsid w:val="00F26609"/>
    <w:rsid w:val="00F27737"/>
    <w:rsid w:val="00F27B90"/>
    <w:rsid w:val="00F327BC"/>
    <w:rsid w:val="00F462BB"/>
    <w:rsid w:val="00F4696B"/>
    <w:rsid w:val="00F50469"/>
    <w:rsid w:val="00F50639"/>
    <w:rsid w:val="00F632A2"/>
    <w:rsid w:val="00F67F00"/>
    <w:rsid w:val="00F70B59"/>
    <w:rsid w:val="00F75BAB"/>
    <w:rsid w:val="00F8181C"/>
    <w:rsid w:val="00F8243C"/>
    <w:rsid w:val="00F953E8"/>
    <w:rsid w:val="00FA16CB"/>
    <w:rsid w:val="00FA1F97"/>
    <w:rsid w:val="00FA21A1"/>
    <w:rsid w:val="00FA3E3C"/>
    <w:rsid w:val="00FA3FDD"/>
    <w:rsid w:val="00FA5664"/>
    <w:rsid w:val="00FB4BD4"/>
    <w:rsid w:val="00FB772D"/>
    <w:rsid w:val="00FB7844"/>
    <w:rsid w:val="00FC0491"/>
    <w:rsid w:val="00FC2027"/>
    <w:rsid w:val="00FC23C4"/>
    <w:rsid w:val="00FC3F70"/>
    <w:rsid w:val="00FD1D77"/>
    <w:rsid w:val="00FD5448"/>
    <w:rsid w:val="00FE0189"/>
    <w:rsid w:val="00FE06C6"/>
    <w:rsid w:val="00FE480A"/>
    <w:rsid w:val="00FE65E1"/>
    <w:rsid w:val="00FE6CEB"/>
    <w:rsid w:val="00FE6EA6"/>
    <w:rsid w:val="00FF12CB"/>
    <w:rsid w:val="00FF4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12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6745F4"/>
  </w:style>
  <w:style w:type="paragraph" w:styleId="Heading1">
    <w:name w:val="heading 1"/>
    <w:link w:val="Heading1Char"/>
    <w:uiPriority w:val="4"/>
    <w:qFormat/>
    <w:rsid w:val="00B85889"/>
    <w:pPr>
      <w:keepNext/>
      <w:framePr w:wrap="around" w:vAnchor="page" w:hAnchor="page" w:x="721" w:y="721"/>
      <w:spacing w:line="600" w:lineRule="exact"/>
      <w:suppressOverlap/>
      <w:outlineLvl w:val="0"/>
    </w:pPr>
    <w:rPr>
      <w:rFonts w:asciiTheme="majorHAnsi" w:eastAsia="Times New Roman" w:hAnsiTheme="majorHAnsi" w:cs="Times New Roman"/>
      <w:color w:val="FFFFFF"/>
      <w:sz w:val="54"/>
      <w:szCs w:val="20"/>
    </w:rPr>
  </w:style>
  <w:style w:type="paragraph" w:styleId="Heading2">
    <w:name w:val="heading 2"/>
    <w:basedOn w:val="Heading1"/>
    <w:link w:val="Heading2Char"/>
    <w:uiPriority w:val="4"/>
    <w:qFormat/>
    <w:rsid w:val="00861D29"/>
    <w:pPr>
      <w:framePr w:wrap="around" w:y="534"/>
      <w:outlineLvl w:val="1"/>
    </w:pPr>
    <w:rPr>
      <w:color w:val="BB141A" w:themeColor="background2"/>
    </w:rPr>
  </w:style>
  <w:style w:type="paragraph" w:styleId="Heading3">
    <w:name w:val="heading 3"/>
    <w:basedOn w:val="Bodycopy"/>
    <w:next w:val="Bodycopy"/>
    <w:link w:val="Heading3Char"/>
    <w:uiPriority w:val="4"/>
    <w:qFormat/>
    <w:rsid w:val="00861D29"/>
    <w:pPr>
      <w:spacing w:after="0"/>
      <w:outlineLvl w:val="2"/>
    </w:pPr>
    <w:rPr>
      <w:b/>
      <w:color w:val="BB141A"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25D"/>
    <w:rPr>
      <w:rFonts w:ascii="Tahoma" w:hAnsi="Tahoma" w:cs="Tahoma"/>
      <w:sz w:val="16"/>
      <w:szCs w:val="16"/>
    </w:rPr>
  </w:style>
  <w:style w:type="character" w:customStyle="1" w:styleId="BalloonTextChar">
    <w:name w:val="Balloon Text Char"/>
    <w:basedOn w:val="DefaultParagraphFont"/>
    <w:link w:val="BalloonText"/>
    <w:uiPriority w:val="99"/>
    <w:semiHidden/>
    <w:rsid w:val="0079025D"/>
    <w:rPr>
      <w:rFonts w:ascii="Tahoma" w:hAnsi="Tahoma" w:cs="Tahoma"/>
      <w:sz w:val="16"/>
      <w:szCs w:val="16"/>
    </w:rPr>
  </w:style>
  <w:style w:type="character" w:customStyle="1" w:styleId="Heading1Char">
    <w:name w:val="Heading 1 Char"/>
    <w:basedOn w:val="DefaultParagraphFont"/>
    <w:link w:val="Heading1"/>
    <w:uiPriority w:val="4"/>
    <w:rsid w:val="00280976"/>
    <w:rPr>
      <w:rFonts w:asciiTheme="majorHAnsi" w:eastAsia="Times New Roman" w:hAnsiTheme="majorHAnsi" w:cs="Times New Roman"/>
      <w:color w:val="FFFFFF"/>
      <w:sz w:val="54"/>
      <w:szCs w:val="20"/>
    </w:rPr>
  </w:style>
  <w:style w:type="paragraph" w:customStyle="1" w:styleId="ecxmsonormal">
    <w:name w:val="ecxmsonormal"/>
    <w:basedOn w:val="Normal"/>
    <w:uiPriority w:val="99"/>
    <w:semiHidden/>
    <w:rsid w:val="0079025D"/>
    <w:pPr>
      <w:spacing w:after="324"/>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6AB1"/>
    <w:rPr>
      <w:color w:val="BB141A" w:themeColor="background2"/>
      <w:u w:val="none"/>
    </w:rPr>
  </w:style>
  <w:style w:type="paragraph" w:styleId="Title">
    <w:name w:val="Title"/>
    <w:link w:val="TitleChar"/>
    <w:rsid w:val="00BE1348"/>
    <w:pPr>
      <w:spacing w:line="920" w:lineRule="exact"/>
    </w:pPr>
    <w:rPr>
      <w:rFonts w:asciiTheme="majorHAnsi" w:eastAsiaTheme="majorEastAsia" w:hAnsiTheme="majorHAnsi" w:cstheme="majorBidi"/>
      <w:color w:val="BB141A" w:themeColor="background2"/>
      <w:spacing w:val="5"/>
      <w:kern w:val="28"/>
      <w:sz w:val="84"/>
      <w:szCs w:val="52"/>
    </w:rPr>
  </w:style>
  <w:style w:type="character" w:customStyle="1" w:styleId="TitleChar">
    <w:name w:val="Title Char"/>
    <w:basedOn w:val="DefaultParagraphFont"/>
    <w:link w:val="Title"/>
    <w:rsid w:val="00BE1348"/>
    <w:rPr>
      <w:rFonts w:asciiTheme="majorHAnsi" w:eastAsiaTheme="majorEastAsia" w:hAnsiTheme="majorHAnsi" w:cstheme="majorBidi"/>
      <w:color w:val="BB141A" w:themeColor="background2"/>
      <w:spacing w:val="5"/>
      <w:kern w:val="28"/>
      <w:sz w:val="84"/>
      <w:szCs w:val="52"/>
    </w:rPr>
  </w:style>
  <w:style w:type="paragraph" w:styleId="Subtitle">
    <w:name w:val="Subtitle"/>
    <w:link w:val="SubtitleChar"/>
    <w:uiPriority w:val="1"/>
    <w:rsid w:val="00BE1348"/>
    <w:pPr>
      <w:numPr>
        <w:ilvl w:val="1"/>
      </w:numPr>
      <w:spacing w:line="600" w:lineRule="exact"/>
    </w:pPr>
    <w:rPr>
      <w:rFonts w:asciiTheme="majorHAnsi" w:eastAsiaTheme="majorEastAsia" w:hAnsiTheme="majorHAnsi" w:cstheme="majorBidi"/>
      <w:iCs/>
      <w:color w:val="BB141A" w:themeColor="background2"/>
      <w:spacing w:val="15"/>
      <w:sz w:val="52"/>
      <w:szCs w:val="24"/>
    </w:rPr>
  </w:style>
  <w:style w:type="character" w:customStyle="1" w:styleId="SubtitleChar">
    <w:name w:val="Subtitle Char"/>
    <w:basedOn w:val="DefaultParagraphFont"/>
    <w:link w:val="Subtitle"/>
    <w:uiPriority w:val="1"/>
    <w:rsid w:val="00BE1348"/>
    <w:rPr>
      <w:rFonts w:asciiTheme="majorHAnsi" w:eastAsiaTheme="majorEastAsia" w:hAnsiTheme="majorHAnsi" w:cstheme="majorBidi"/>
      <w:iCs/>
      <w:color w:val="BB141A" w:themeColor="background2"/>
      <w:spacing w:val="15"/>
      <w:sz w:val="52"/>
      <w:szCs w:val="24"/>
    </w:rPr>
  </w:style>
  <w:style w:type="character" w:styleId="SubtleEmphasis">
    <w:name w:val="Subtle Emphasis"/>
    <w:basedOn w:val="DefaultParagraphFont"/>
    <w:uiPriority w:val="19"/>
    <w:semiHidden/>
    <w:unhideWhenUsed/>
    <w:rsid w:val="00624BA5"/>
    <w:rPr>
      <w:i/>
      <w:iCs/>
      <w:color w:val="A7A7A7" w:themeColor="text1" w:themeTint="7F"/>
    </w:rPr>
  </w:style>
  <w:style w:type="character" w:styleId="Emphasis">
    <w:name w:val="Emphasis"/>
    <w:basedOn w:val="DefaultParagraphFont"/>
    <w:uiPriority w:val="20"/>
    <w:semiHidden/>
    <w:unhideWhenUsed/>
    <w:rsid w:val="00624BA5"/>
    <w:rPr>
      <w:i/>
      <w:iCs/>
    </w:rPr>
  </w:style>
  <w:style w:type="character" w:styleId="IntenseEmphasis">
    <w:name w:val="Intense Emphasis"/>
    <w:basedOn w:val="DefaultParagraphFont"/>
    <w:uiPriority w:val="21"/>
    <w:semiHidden/>
    <w:unhideWhenUsed/>
    <w:rsid w:val="00624BA5"/>
    <w:rPr>
      <w:b/>
      <w:bCs/>
      <w:i/>
      <w:iCs/>
      <w:color w:val="0072BC" w:themeColor="accent1"/>
    </w:rPr>
  </w:style>
  <w:style w:type="character" w:styleId="Strong">
    <w:name w:val="Strong"/>
    <w:basedOn w:val="DefaultParagraphFont"/>
    <w:uiPriority w:val="22"/>
    <w:semiHidden/>
    <w:unhideWhenUsed/>
    <w:rsid w:val="00624BA5"/>
    <w:rPr>
      <w:b/>
      <w:bCs/>
    </w:rPr>
  </w:style>
  <w:style w:type="paragraph" w:styleId="Quote">
    <w:name w:val="Quote"/>
    <w:basedOn w:val="Normal"/>
    <w:next w:val="Normal"/>
    <w:link w:val="QuoteChar"/>
    <w:uiPriority w:val="29"/>
    <w:semiHidden/>
    <w:unhideWhenUsed/>
    <w:rsid w:val="00624BA5"/>
    <w:rPr>
      <w:i/>
      <w:iCs/>
      <w:color w:val="505050" w:themeColor="text1"/>
    </w:rPr>
  </w:style>
  <w:style w:type="character" w:customStyle="1" w:styleId="QuoteChar">
    <w:name w:val="Quote Char"/>
    <w:basedOn w:val="DefaultParagraphFont"/>
    <w:link w:val="Quote"/>
    <w:uiPriority w:val="29"/>
    <w:semiHidden/>
    <w:rsid w:val="00624BA5"/>
    <w:rPr>
      <w:i/>
      <w:iCs/>
      <w:color w:val="505050" w:themeColor="text1"/>
    </w:rPr>
  </w:style>
  <w:style w:type="paragraph" w:styleId="IntenseQuote">
    <w:name w:val="Intense Quote"/>
    <w:basedOn w:val="Normal"/>
    <w:next w:val="Normal"/>
    <w:link w:val="IntenseQuoteChar"/>
    <w:uiPriority w:val="30"/>
    <w:semiHidden/>
    <w:unhideWhenUsed/>
    <w:rsid w:val="00624BA5"/>
    <w:pPr>
      <w:pBdr>
        <w:bottom w:val="single" w:sz="4" w:space="4" w:color="0072BC" w:themeColor="accent1"/>
      </w:pBdr>
      <w:spacing w:before="200" w:after="280"/>
      <w:ind w:left="936" w:right="936"/>
    </w:pPr>
    <w:rPr>
      <w:b/>
      <w:bCs/>
      <w:i/>
      <w:iCs/>
      <w:color w:val="0072BC" w:themeColor="accent1"/>
    </w:rPr>
  </w:style>
  <w:style w:type="character" w:customStyle="1" w:styleId="IntenseQuoteChar">
    <w:name w:val="Intense Quote Char"/>
    <w:basedOn w:val="DefaultParagraphFont"/>
    <w:link w:val="IntenseQuote"/>
    <w:uiPriority w:val="30"/>
    <w:semiHidden/>
    <w:rsid w:val="00624BA5"/>
    <w:rPr>
      <w:b/>
      <w:bCs/>
      <w:i/>
      <w:iCs/>
      <w:color w:val="0072BC" w:themeColor="accent1"/>
    </w:rPr>
  </w:style>
  <w:style w:type="character" w:styleId="SubtleReference">
    <w:name w:val="Subtle Reference"/>
    <w:basedOn w:val="DefaultParagraphFont"/>
    <w:uiPriority w:val="31"/>
    <w:semiHidden/>
    <w:unhideWhenUsed/>
    <w:rsid w:val="00624BA5"/>
    <w:rPr>
      <w:smallCaps/>
      <w:color w:val="BB141A" w:themeColor="accent2"/>
      <w:u w:val="single"/>
    </w:rPr>
  </w:style>
  <w:style w:type="character" w:styleId="IntenseReference">
    <w:name w:val="Intense Reference"/>
    <w:basedOn w:val="DefaultParagraphFont"/>
    <w:uiPriority w:val="32"/>
    <w:semiHidden/>
    <w:unhideWhenUsed/>
    <w:rsid w:val="00624BA5"/>
    <w:rPr>
      <w:b/>
      <w:bCs/>
      <w:smallCaps/>
      <w:color w:val="BB141A" w:themeColor="accent2"/>
      <w:spacing w:val="5"/>
      <w:u w:val="single"/>
    </w:rPr>
  </w:style>
  <w:style w:type="character" w:styleId="BookTitle">
    <w:name w:val="Book Title"/>
    <w:basedOn w:val="DefaultParagraphFont"/>
    <w:uiPriority w:val="33"/>
    <w:semiHidden/>
    <w:unhideWhenUsed/>
    <w:rsid w:val="00624BA5"/>
    <w:rPr>
      <w:b/>
      <w:bCs/>
      <w:smallCaps/>
      <w:spacing w:val="5"/>
    </w:rPr>
  </w:style>
  <w:style w:type="paragraph" w:customStyle="1" w:styleId="Pullquotecopy">
    <w:name w:val="Pull quote copy"/>
    <w:basedOn w:val="Bodycopy"/>
    <w:uiPriority w:val="5"/>
    <w:qFormat/>
    <w:rsid w:val="009848B1"/>
    <w:pPr>
      <w:pBdr>
        <w:top w:val="single" w:sz="18" w:space="13" w:color="BB141A" w:themeColor="background2"/>
        <w:bottom w:val="single" w:sz="18" w:space="18" w:color="BB141A" w:themeColor="background2"/>
      </w:pBdr>
      <w:spacing w:after="0" w:line="600" w:lineRule="atLeast"/>
    </w:pPr>
    <w:rPr>
      <w:rFonts w:ascii="Segoe UI Light" w:hAnsi="Segoe UI Light"/>
      <w:color w:val="BB141A" w:themeColor="background2"/>
      <w:sz w:val="44"/>
    </w:rPr>
  </w:style>
  <w:style w:type="paragraph" w:styleId="NoSpacing">
    <w:name w:val="No Spacing"/>
    <w:uiPriority w:val="99"/>
    <w:semiHidden/>
    <w:rsid w:val="00624BA5"/>
  </w:style>
  <w:style w:type="table" w:styleId="TableGrid">
    <w:name w:val="Table Grid"/>
    <w:basedOn w:val="TableNormal"/>
    <w:uiPriority w:val="59"/>
    <w:rsid w:val="00D76F2D"/>
    <w:rPr>
      <w:sz w:val="20"/>
    </w:rPr>
    <w:tblPr>
      <w:tblInd w:w="0" w:type="dxa"/>
      <w:tblCellMar>
        <w:top w:w="0" w:type="dxa"/>
        <w:left w:w="0" w:type="dxa"/>
        <w:bottom w:w="0" w:type="dxa"/>
        <w:right w:w="0" w:type="dxa"/>
      </w:tblCellMar>
    </w:tblPr>
    <w:trPr>
      <w:cantSplit/>
    </w:trPr>
  </w:style>
  <w:style w:type="paragraph" w:customStyle="1" w:styleId="Bodycopy">
    <w:name w:val="Body copy"/>
    <w:link w:val="BodycopyChar"/>
    <w:uiPriority w:val="5"/>
    <w:qFormat/>
    <w:rsid w:val="005A10D2"/>
    <w:pPr>
      <w:spacing w:after="260" w:line="270" w:lineRule="atLeast"/>
    </w:pPr>
    <w:rPr>
      <w:rFonts w:asciiTheme="minorHAnsi" w:eastAsia="Times New Roman" w:hAnsiTheme="minorHAnsi" w:cs="Times New Roman"/>
      <w:color w:val="505050" w:themeColor="text1"/>
      <w:szCs w:val="20"/>
    </w:rPr>
  </w:style>
  <w:style w:type="paragraph" w:styleId="Header">
    <w:name w:val="header"/>
    <w:basedOn w:val="Normal"/>
    <w:link w:val="HeaderChar"/>
    <w:uiPriority w:val="99"/>
    <w:unhideWhenUsed/>
    <w:rsid w:val="00710833"/>
    <w:pPr>
      <w:tabs>
        <w:tab w:val="center" w:pos="4680"/>
        <w:tab w:val="right" w:pos="9360"/>
      </w:tabs>
    </w:pPr>
    <w:rPr>
      <w:rFonts w:asciiTheme="minorHAnsi" w:hAnsiTheme="minorHAnsi"/>
      <w:color w:val="FFFFFF"/>
      <w:sz w:val="16"/>
    </w:rPr>
  </w:style>
  <w:style w:type="character" w:customStyle="1" w:styleId="HeaderChar">
    <w:name w:val="Header Char"/>
    <w:basedOn w:val="DefaultParagraphFont"/>
    <w:link w:val="Header"/>
    <w:uiPriority w:val="99"/>
    <w:rsid w:val="00710833"/>
    <w:rPr>
      <w:rFonts w:asciiTheme="minorHAnsi" w:hAnsiTheme="minorHAnsi"/>
      <w:color w:val="FFFFFF"/>
      <w:sz w:val="16"/>
    </w:rPr>
  </w:style>
  <w:style w:type="paragraph" w:styleId="Footer">
    <w:name w:val="footer"/>
    <w:basedOn w:val="Bodycopy"/>
    <w:link w:val="FooterChar"/>
    <w:uiPriority w:val="99"/>
    <w:unhideWhenUsed/>
    <w:rsid w:val="003A1858"/>
    <w:pPr>
      <w:spacing w:after="0" w:line="240" w:lineRule="auto"/>
    </w:pPr>
    <w:rPr>
      <w:color w:val="505050"/>
      <w:sz w:val="16"/>
    </w:rPr>
  </w:style>
  <w:style w:type="character" w:customStyle="1" w:styleId="FooterChar">
    <w:name w:val="Footer Char"/>
    <w:basedOn w:val="DefaultParagraphFont"/>
    <w:link w:val="Footer"/>
    <w:uiPriority w:val="99"/>
    <w:rsid w:val="003A1858"/>
    <w:rPr>
      <w:rFonts w:asciiTheme="minorHAnsi" w:eastAsia="Times New Roman" w:hAnsiTheme="minorHAnsi" w:cs="Times New Roman"/>
      <w:color w:val="505050"/>
      <w:sz w:val="16"/>
      <w:szCs w:val="20"/>
    </w:rPr>
  </w:style>
  <w:style w:type="paragraph" w:customStyle="1" w:styleId="Imagefullpage">
    <w:name w:val="Image full page"/>
    <w:basedOn w:val="Imagefullcolumn"/>
    <w:next w:val="Captionfullpage"/>
    <w:uiPriority w:val="5"/>
    <w:qFormat/>
    <w:rsid w:val="001151FE"/>
    <w:pPr>
      <w:ind w:left="-3744"/>
    </w:pPr>
  </w:style>
  <w:style w:type="paragraph" w:customStyle="1" w:styleId="Bodycopybullet">
    <w:name w:val="Body copy bullet"/>
    <w:basedOn w:val="Bodycopy"/>
    <w:uiPriority w:val="5"/>
    <w:qFormat/>
    <w:rsid w:val="009C58B5"/>
    <w:pPr>
      <w:numPr>
        <w:numId w:val="31"/>
      </w:numPr>
      <w:ind w:left="360" w:hanging="216"/>
    </w:pPr>
  </w:style>
  <w:style w:type="paragraph" w:styleId="Caption">
    <w:name w:val="caption"/>
    <w:aliases w:val="Caption full column"/>
    <w:next w:val="Bodycopy"/>
    <w:uiPriority w:val="6"/>
    <w:qFormat/>
    <w:rsid w:val="009D31D2"/>
    <w:pPr>
      <w:pBdr>
        <w:bottom w:val="single" w:sz="18" w:space="10" w:color="BB141A" w:themeColor="background2"/>
      </w:pBdr>
      <w:spacing w:before="120" w:after="120" w:line="160" w:lineRule="exact"/>
      <w:ind w:left="29"/>
    </w:pPr>
    <w:rPr>
      <w:rFonts w:asciiTheme="minorHAnsi" w:hAnsiTheme="minorHAnsi"/>
      <w:bCs/>
      <w:i/>
      <w:color w:val="969696" w:themeColor="text1" w:themeTint="99"/>
      <w:sz w:val="14"/>
      <w:szCs w:val="18"/>
    </w:rPr>
  </w:style>
  <w:style w:type="paragraph" w:customStyle="1" w:styleId="Imagefullcolumn">
    <w:name w:val="Image full column"/>
    <w:basedOn w:val="Bodycopy"/>
    <w:next w:val="Bodycopy"/>
    <w:uiPriority w:val="5"/>
    <w:qFormat/>
    <w:rsid w:val="006139E8"/>
    <w:pPr>
      <w:keepNext/>
      <w:spacing w:after="60"/>
      <w:ind w:left="-43"/>
    </w:pPr>
  </w:style>
  <w:style w:type="paragraph" w:styleId="TOC1">
    <w:name w:val="toc 1"/>
    <w:basedOn w:val="Bodycopy"/>
    <w:next w:val="Bodycopy"/>
    <w:uiPriority w:val="39"/>
    <w:semiHidden/>
    <w:rsid w:val="00875A01"/>
    <w:pPr>
      <w:tabs>
        <w:tab w:val="left" w:leader="dot" w:pos="7891"/>
      </w:tabs>
      <w:spacing w:line="240" w:lineRule="exact"/>
    </w:pPr>
  </w:style>
  <w:style w:type="character" w:customStyle="1" w:styleId="Heading2Char">
    <w:name w:val="Heading 2 Char"/>
    <w:basedOn w:val="DefaultParagraphFont"/>
    <w:link w:val="Heading2"/>
    <w:uiPriority w:val="4"/>
    <w:rsid w:val="00861D29"/>
    <w:rPr>
      <w:rFonts w:asciiTheme="majorHAnsi" w:eastAsia="Times New Roman" w:hAnsiTheme="majorHAnsi" w:cs="Times New Roman"/>
      <w:color w:val="BB141A" w:themeColor="background2"/>
      <w:sz w:val="54"/>
      <w:szCs w:val="20"/>
    </w:rPr>
  </w:style>
  <w:style w:type="character" w:customStyle="1" w:styleId="Heading3Char">
    <w:name w:val="Heading 3 Char"/>
    <w:basedOn w:val="DefaultParagraphFont"/>
    <w:link w:val="Heading3"/>
    <w:uiPriority w:val="4"/>
    <w:rsid w:val="00861D29"/>
    <w:rPr>
      <w:rFonts w:asciiTheme="minorHAnsi" w:eastAsia="Times New Roman" w:hAnsiTheme="minorHAnsi" w:cs="Times New Roman"/>
      <w:b/>
      <w:color w:val="BB141A" w:themeColor="background2"/>
      <w:szCs w:val="20"/>
    </w:rPr>
  </w:style>
  <w:style w:type="paragraph" w:styleId="TOC2">
    <w:name w:val="toc 2"/>
    <w:basedOn w:val="Bodycopy"/>
    <w:next w:val="Bodycopy"/>
    <w:uiPriority w:val="39"/>
    <w:semiHidden/>
    <w:rsid w:val="00875A01"/>
    <w:pPr>
      <w:tabs>
        <w:tab w:val="left" w:leader="dot" w:pos="7884"/>
      </w:tabs>
      <w:spacing w:after="100"/>
      <w:ind w:left="220"/>
    </w:pPr>
  </w:style>
  <w:style w:type="numbering" w:customStyle="1" w:styleId="XXXXXXXX">
    <w:name w:val="XXXXXXXX"/>
    <w:uiPriority w:val="99"/>
    <w:rsid w:val="00F2422A"/>
    <w:pPr>
      <w:numPr>
        <w:numId w:val="2"/>
      </w:numPr>
    </w:pPr>
  </w:style>
  <w:style w:type="character" w:styleId="FollowedHyperlink">
    <w:name w:val="FollowedHyperlink"/>
    <w:basedOn w:val="DefaultParagraphFont"/>
    <w:uiPriority w:val="99"/>
    <w:semiHidden/>
    <w:unhideWhenUsed/>
    <w:rsid w:val="00886AB1"/>
    <w:rPr>
      <w:color w:val="505050" w:themeColor="text1"/>
      <w:u w:val="single"/>
    </w:rPr>
  </w:style>
  <w:style w:type="paragraph" w:customStyle="1" w:styleId="Tablecopy">
    <w:name w:val="Table copy"/>
    <w:next w:val="Normal"/>
    <w:uiPriority w:val="5"/>
    <w:qFormat/>
    <w:rsid w:val="00D21FFA"/>
    <w:pPr>
      <w:tabs>
        <w:tab w:val="left" w:pos="288"/>
      </w:tabs>
      <w:spacing w:line="260" w:lineRule="exact"/>
    </w:pPr>
    <w:rPr>
      <w:rFonts w:asciiTheme="minorHAnsi" w:eastAsia="Times New Roman" w:hAnsiTheme="minorHAnsi" w:cs="Times New Roman"/>
      <w:color w:val="505050" w:themeColor="text1"/>
      <w:sz w:val="16"/>
      <w:szCs w:val="20"/>
    </w:rPr>
  </w:style>
  <w:style w:type="table" w:customStyle="1" w:styleId="WhitePaperTableStyle">
    <w:name w:val="White Paper Table Style"/>
    <w:basedOn w:val="TableNormal"/>
    <w:uiPriority w:val="99"/>
    <w:qFormat/>
    <w:rsid w:val="005E0B3B"/>
    <w:rPr>
      <w:rFonts w:asciiTheme="minorHAnsi" w:hAnsiTheme="minorHAnsi"/>
      <w:color w:val="505050" w:themeColor="text1"/>
      <w:sz w:val="16"/>
    </w:rPr>
    <w:tblPr>
      <w:tblInd w:w="115" w:type="dxa"/>
      <w:tblBorders>
        <w:top w:val="single" w:sz="12" w:space="0" w:color="FFFFFF" w:themeColor="background1"/>
        <w:bottom w:val="single" w:sz="4" w:space="0" w:color="505050" w:themeColor="text1"/>
        <w:insideH w:val="single" w:sz="4" w:space="0" w:color="505050" w:themeColor="text1"/>
      </w:tblBorders>
      <w:tblCellMar>
        <w:top w:w="43" w:type="dxa"/>
        <w:left w:w="115" w:type="dxa"/>
        <w:bottom w:w="86" w:type="dxa"/>
        <w:right w:w="115" w:type="dxa"/>
      </w:tblCellMar>
    </w:tblPr>
    <w:trPr>
      <w:cantSplit/>
    </w:trPr>
    <w:tcPr>
      <w:shd w:val="clear" w:color="auto" w:fill="auto"/>
      <w:vAlign w:val="center"/>
    </w:tcPr>
    <w:tblStylePr w:type="firstRow">
      <w:tblPr/>
      <w:tcPr>
        <w:tcBorders>
          <w:left w:val="nil"/>
          <w:right w:val="nil"/>
        </w:tcBorders>
        <w:shd w:val="clear" w:color="auto" w:fill="BB141A" w:themeFill="background2"/>
      </w:tcPr>
    </w:tblStylePr>
  </w:style>
  <w:style w:type="paragraph" w:customStyle="1" w:styleId="Tableheading">
    <w:name w:val="Table heading"/>
    <w:basedOn w:val="Tablecopy"/>
    <w:uiPriority w:val="5"/>
    <w:qFormat/>
    <w:rsid w:val="00BE4B5B"/>
    <w:pPr>
      <w:keepNext/>
    </w:pPr>
    <w:rPr>
      <w:b/>
      <w:color w:val="FFFFFF"/>
      <w:sz w:val="18"/>
    </w:rPr>
  </w:style>
  <w:style w:type="numbering" w:customStyle="1" w:styleId="Tablebullet">
    <w:name w:val="Table bullet"/>
    <w:basedOn w:val="NoList"/>
    <w:rsid w:val="00F953E8"/>
    <w:pPr>
      <w:numPr>
        <w:numId w:val="33"/>
      </w:numPr>
    </w:pPr>
  </w:style>
  <w:style w:type="numbering" w:customStyle="1" w:styleId="Tablebullets">
    <w:name w:val="Table bullets"/>
    <w:basedOn w:val="NoList"/>
    <w:rsid w:val="00F953E8"/>
    <w:pPr>
      <w:numPr>
        <w:numId w:val="36"/>
      </w:numPr>
    </w:pPr>
  </w:style>
  <w:style w:type="numbering" w:customStyle="1" w:styleId="StyleTablebulletOutlinenumberedBody">
    <w:name w:val="Style Table bullet + Outline numbered +Body"/>
    <w:basedOn w:val="NoList"/>
    <w:rsid w:val="00F953E8"/>
    <w:pPr>
      <w:numPr>
        <w:numId w:val="38"/>
      </w:numPr>
    </w:pPr>
  </w:style>
  <w:style w:type="numbering" w:customStyle="1" w:styleId="StyleTablebulletOutlinenumberedBody1">
    <w:name w:val="Style Table bullet + Outline numbered +Body1"/>
    <w:basedOn w:val="NoList"/>
    <w:rsid w:val="00F953E8"/>
    <w:pPr>
      <w:numPr>
        <w:numId w:val="41"/>
      </w:numPr>
    </w:pPr>
  </w:style>
  <w:style w:type="paragraph" w:customStyle="1" w:styleId="Captionfullpage">
    <w:name w:val="Caption full page"/>
    <w:next w:val="Bodycopy"/>
    <w:uiPriority w:val="6"/>
    <w:qFormat/>
    <w:rsid w:val="00933994"/>
    <w:pPr>
      <w:pBdr>
        <w:bottom w:val="single" w:sz="18" w:space="18" w:color="BB141A" w:themeColor="background2"/>
      </w:pBdr>
      <w:spacing w:before="120" w:after="120" w:line="160" w:lineRule="exact"/>
      <w:ind w:left="-3658"/>
    </w:pPr>
    <w:rPr>
      <w:rFonts w:asciiTheme="minorHAnsi" w:eastAsia="Times New Roman" w:hAnsiTheme="minorHAnsi" w:cs="Times New Roman"/>
      <w:i/>
      <w:iCs/>
      <w:color w:val="969696" w:themeColor="text1" w:themeTint="99"/>
      <w:sz w:val="14"/>
      <w:szCs w:val="20"/>
    </w:rPr>
  </w:style>
  <w:style w:type="paragraph" w:customStyle="1" w:styleId="ContentsHeading">
    <w:name w:val="Contents Heading"/>
    <w:basedOn w:val="Bodycopy"/>
    <w:next w:val="ToCmanualentrieswithtabs"/>
    <w:uiPriority w:val="2"/>
    <w:rsid w:val="00B12FDA"/>
    <w:pPr>
      <w:spacing w:after="600"/>
      <w:ind w:left="-3744"/>
    </w:pPr>
    <w:rPr>
      <w:rFonts w:ascii="Segoe UI Light" w:hAnsi="Segoe UI Light"/>
      <w:color w:val="FFFFFF"/>
      <w:sz w:val="54"/>
    </w:rPr>
  </w:style>
  <w:style w:type="paragraph" w:customStyle="1" w:styleId="ToCmanualentrieswithtabs">
    <w:name w:val="ToC manual entries with tabs"/>
    <w:basedOn w:val="Bodycopy"/>
    <w:uiPriority w:val="2"/>
    <w:rsid w:val="00161E3F"/>
    <w:pPr>
      <w:tabs>
        <w:tab w:val="left" w:pos="1080"/>
        <w:tab w:val="left" w:pos="2160"/>
      </w:tabs>
    </w:pPr>
    <w:rPr>
      <w:rFonts w:ascii="Segoe UI Light" w:hAnsi="Segoe UI Light"/>
      <w:color w:val="FFFFFF"/>
      <w:sz w:val="36"/>
    </w:rPr>
  </w:style>
  <w:style w:type="paragraph" w:customStyle="1" w:styleId="ToCCopyrightcopy">
    <w:name w:val="ToC Copyright copy"/>
    <w:uiPriority w:val="3"/>
    <w:rsid w:val="00AA4C6B"/>
    <w:pPr>
      <w:spacing w:after="360" w:line="170" w:lineRule="exact"/>
    </w:pPr>
    <w:rPr>
      <w:rFonts w:ascii="Segoe UI" w:hAnsi="Segoe UI"/>
      <w:color w:val="FFFFFF"/>
      <w:sz w:val="14"/>
    </w:rPr>
  </w:style>
  <w:style w:type="paragraph" w:customStyle="1" w:styleId="Introductoryparagraph">
    <w:name w:val="Introductory paragraph"/>
    <w:basedOn w:val="Bodycopy"/>
    <w:next w:val="Bodycopy"/>
    <w:uiPriority w:val="4"/>
    <w:qFormat/>
    <w:rsid w:val="00861D29"/>
    <w:rPr>
      <w:b/>
      <w:color w:val="BB141A" w:themeColor="background2"/>
    </w:rPr>
  </w:style>
  <w:style w:type="paragraph" w:customStyle="1" w:styleId="Imagehalfwayintosidebar">
    <w:name w:val="Image halfway into sidebar"/>
    <w:basedOn w:val="Imagefullcolumn"/>
    <w:next w:val="Captionhalfwayintosidebar"/>
    <w:uiPriority w:val="5"/>
    <w:qFormat/>
    <w:rsid w:val="001151FE"/>
    <w:pPr>
      <w:ind w:left="-2059"/>
    </w:pPr>
  </w:style>
  <w:style w:type="paragraph" w:customStyle="1" w:styleId="Captionhalfwayintosidebar">
    <w:name w:val="Caption halfway into sidebar"/>
    <w:next w:val="Bodycopy"/>
    <w:uiPriority w:val="6"/>
    <w:qFormat/>
    <w:rsid w:val="00933994"/>
    <w:pPr>
      <w:pBdr>
        <w:bottom w:val="single" w:sz="18" w:space="18" w:color="BB141A" w:themeColor="background2"/>
      </w:pBdr>
      <w:spacing w:before="120" w:after="120" w:line="160" w:lineRule="exact"/>
      <w:ind w:left="-2016"/>
    </w:pPr>
    <w:rPr>
      <w:rFonts w:asciiTheme="minorHAnsi" w:eastAsia="Times New Roman" w:hAnsiTheme="minorHAnsi" w:cs="Times New Roman"/>
      <w:i/>
      <w:iCs/>
      <w:color w:val="969696" w:themeColor="text1" w:themeTint="99"/>
      <w:sz w:val="14"/>
      <w:szCs w:val="20"/>
    </w:rPr>
  </w:style>
  <w:style w:type="paragraph" w:customStyle="1" w:styleId="Captioninsidebar-nogreenline">
    <w:name w:val="Caption in sidebar - no green line"/>
    <w:basedOn w:val="Caption"/>
    <w:uiPriority w:val="6"/>
    <w:rsid w:val="006745F4"/>
    <w:pPr>
      <w:pBdr>
        <w:bottom w:val="none" w:sz="0" w:space="0" w:color="auto"/>
      </w:pBdr>
      <w:ind w:left="0"/>
    </w:pPr>
    <w:rPr>
      <w:rFonts w:eastAsia="Times New Roman" w:cs="Times New Roman"/>
      <w:bCs w:val="0"/>
      <w:iCs/>
      <w:szCs w:val="20"/>
    </w:rPr>
  </w:style>
  <w:style w:type="character" w:styleId="FootnoteReference">
    <w:name w:val="footnote reference"/>
    <w:basedOn w:val="DefaultParagraphFont"/>
    <w:uiPriority w:val="99"/>
    <w:semiHidden/>
    <w:unhideWhenUsed/>
    <w:rsid w:val="00FC3F70"/>
    <w:rPr>
      <w:vertAlign w:val="superscript"/>
    </w:rPr>
  </w:style>
  <w:style w:type="paragraph" w:customStyle="1" w:styleId="Footnote">
    <w:name w:val="Footnote"/>
    <w:basedOn w:val="FootnoteText"/>
    <w:link w:val="FootnoteChar"/>
    <w:uiPriority w:val="99"/>
    <w:qFormat/>
    <w:rsid w:val="00FC3F70"/>
    <w:rPr>
      <w:rFonts w:asciiTheme="minorHAnsi" w:hAnsiTheme="minorHAnsi" w:cstheme="minorHAnsi"/>
      <w:sz w:val="14"/>
      <w:szCs w:val="14"/>
    </w:rPr>
  </w:style>
  <w:style w:type="character" w:customStyle="1" w:styleId="FootnoteChar">
    <w:name w:val="Footnote Char"/>
    <w:basedOn w:val="FootnoteTextChar"/>
    <w:link w:val="Footnote"/>
    <w:uiPriority w:val="99"/>
    <w:rsid w:val="00FC3F70"/>
    <w:rPr>
      <w:rFonts w:asciiTheme="minorHAnsi" w:hAnsiTheme="minorHAnsi" w:cstheme="minorHAnsi"/>
      <w:sz w:val="14"/>
      <w:szCs w:val="14"/>
    </w:rPr>
  </w:style>
  <w:style w:type="paragraph" w:styleId="FootnoteText">
    <w:name w:val="footnote text"/>
    <w:basedOn w:val="Normal"/>
    <w:link w:val="FootnoteTextChar"/>
    <w:uiPriority w:val="99"/>
    <w:semiHidden/>
    <w:unhideWhenUsed/>
    <w:rsid w:val="00FC3F70"/>
    <w:rPr>
      <w:sz w:val="20"/>
      <w:szCs w:val="20"/>
    </w:rPr>
  </w:style>
  <w:style w:type="character" w:customStyle="1" w:styleId="FootnoteTextChar">
    <w:name w:val="Footnote Text Char"/>
    <w:basedOn w:val="DefaultParagraphFont"/>
    <w:link w:val="FootnoteText"/>
    <w:uiPriority w:val="99"/>
    <w:semiHidden/>
    <w:rsid w:val="00FC3F70"/>
    <w:rPr>
      <w:sz w:val="20"/>
      <w:szCs w:val="20"/>
    </w:rPr>
  </w:style>
  <w:style w:type="character" w:customStyle="1" w:styleId="casestudysubtitle">
    <w:name w:val="casestudysubtitle"/>
    <w:basedOn w:val="DefaultParagraphFont"/>
    <w:rsid w:val="008E4D56"/>
  </w:style>
  <w:style w:type="character" w:styleId="CommentReference">
    <w:name w:val="annotation reference"/>
    <w:basedOn w:val="DefaultParagraphFont"/>
    <w:uiPriority w:val="99"/>
    <w:semiHidden/>
    <w:unhideWhenUsed/>
    <w:rsid w:val="00AF268D"/>
    <w:rPr>
      <w:sz w:val="16"/>
      <w:szCs w:val="16"/>
    </w:rPr>
  </w:style>
  <w:style w:type="paragraph" w:styleId="CommentText">
    <w:name w:val="annotation text"/>
    <w:basedOn w:val="Normal"/>
    <w:link w:val="CommentTextChar"/>
    <w:uiPriority w:val="99"/>
    <w:semiHidden/>
    <w:unhideWhenUsed/>
    <w:rsid w:val="00AF268D"/>
    <w:rPr>
      <w:sz w:val="20"/>
      <w:szCs w:val="20"/>
    </w:rPr>
  </w:style>
  <w:style w:type="character" w:customStyle="1" w:styleId="CommentTextChar">
    <w:name w:val="Comment Text Char"/>
    <w:basedOn w:val="DefaultParagraphFont"/>
    <w:link w:val="CommentText"/>
    <w:uiPriority w:val="99"/>
    <w:semiHidden/>
    <w:rsid w:val="00AF268D"/>
    <w:rPr>
      <w:sz w:val="20"/>
      <w:szCs w:val="20"/>
    </w:rPr>
  </w:style>
  <w:style w:type="paragraph" w:styleId="CommentSubject">
    <w:name w:val="annotation subject"/>
    <w:basedOn w:val="CommentText"/>
    <w:next w:val="CommentText"/>
    <w:link w:val="CommentSubjectChar"/>
    <w:uiPriority w:val="99"/>
    <w:semiHidden/>
    <w:unhideWhenUsed/>
    <w:rsid w:val="00AF268D"/>
    <w:rPr>
      <w:b/>
      <w:bCs/>
    </w:rPr>
  </w:style>
  <w:style w:type="character" w:customStyle="1" w:styleId="CommentSubjectChar">
    <w:name w:val="Comment Subject Char"/>
    <w:basedOn w:val="CommentTextChar"/>
    <w:link w:val="CommentSubject"/>
    <w:uiPriority w:val="99"/>
    <w:semiHidden/>
    <w:rsid w:val="00AF268D"/>
    <w:rPr>
      <w:b/>
      <w:bCs/>
      <w:sz w:val="20"/>
      <w:szCs w:val="20"/>
    </w:rPr>
  </w:style>
  <w:style w:type="paragraph" w:styleId="Revision">
    <w:name w:val="Revision"/>
    <w:hidden/>
    <w:uiPriority w:val="99"/>
    <w:semiHidden/>
    <w:rsid w:val="00AF268D"/>
  </w:style>
  <w:style w:type="paragraph" w:customStyle="1" w:styleId="Bullet1">
    <w:name w:val="Bullet 1"/>
    <w:basedOn w:val="Normal"/>
    <w:link w:val="Bullet1Char"/>
    <w:qFormat/>
    <w:rsid w:val="00F27737"/>
    <w:pPr>
      <w:widowControl w:val="0"/>
      <w:numPr>
        <w:numId w:val="46"/>
      </w:numPr>
      <w:autoSpaceDE w:val="0"/>
      <w:autoSpaceDN w:val="0"/>
      <w:adjustRightInd w:val="0"/>
      <w:spacing w:before="120" w:after="120"/>
      <w:ind w:left="360"/>
    </w:pPr>
    <w:rPr>
      <w:rFonts w:ascii="Segoe UI" w:eastAsia="Times New Roman" w:hAnsi="Segoe UI" w:cstheme="majorHAnsi"/>
      <w:szCs w:val="20"/>
    </w:rPr>
  </w:style>
  <w:style w:type="character" w:customStyle="1" w:styleId="Bullet1Char">
    <w:name w:val="Bullet 1 Char"/>
    <w:basedOn w:val="DefaultParagraphFont"/>
    <w:link w:val="Bullet1"/>
    <w:rsid w:val="00F27737"/>
    <w:rPr>
      <w:rFonts w:ascii="Segoe UI" w:eastAsia="Times New Roman" w:hAnsi="Segoe UI" w:cstheme="majorHAnsi"/>
      <w:szCs w:val="20"/>
    </w:rPr>
  </w:style>
  <w:style w:type="paragraph" w:customStyle="1" w:styleId="Default">
    <w:name w:val="Default"/>
    <w:rsid w:val="00E72867"/>
    <w:pPr>
      <w:autoSpaceDE w:val="0"/>
      <w:autoSpaceDN w:val="0"/>
      <w:adjustRightInd w:val="0"/>
    </w:pPr>
    <w:rPr>
      <w:rFonts w:ascii="Segoe UI" w:eastAsiaTheme="minorEastAsia" w:hAnsi="Segoe UI" w:cs="Segoe UI"/>
      <w:color w:val="000000"/>
      <w:sz w:val="24"/>
      <w:szCs w:val="24"/>
      <w:lang w:eastAsia="ko-KR"/>
    </w:rPr>
  </w:style>
  <w:style w:type="paragraph" w:styleId="NormalWeb">
    <w:name w:val="Normal (Web)"/>
    <w:basedOn w:val="Normal"/>
    <w:uiPriority w:val="99"/>
    <w:semiHidden/>
    <w:unhideWhenUsed/>
    <w:rsid w:val="00F4696B"/>
    <w:pPr>
      <w:spacing w:before="100" w:beforeAutospacing="1" w:after="100" w:afterAutospacing="1"/>
    </w:pPr>
    <w:rPr>
      <w:rFonts w:ascii="Times New Roman" w:eastAsia="Times New Roman" w:hAnsi="Times New Roman" w:cs="Times New Roman"/>
      <w:sz w:val="24"/>
      <w:szCs w:val="24"/>
    </w:rPr>
  </w:style>
  <w:style w:type="character" w:customStyle="1" w:styleId="BodycopyChar">
    <w:name w:val="Body copy Char"/>
    <w:basedOn w:val="DefaultParagraphFont"/>
    <w:link w:val="Bodycopy"/>
    <w:uiPriority w:val="5"/>
    <w:rsid w:val="007B5F35"/>
    <w:rPr>
      <w:rFonts w:asciiTheme="minorHAnsi" w:eastAsia="Times New Roman" w:hAnsiTheme="minorHAnsi" w:cs="Times New Roman"/>
      <w:color w:val="505050" w:themeColor="text1"/>
      <w:szCs w:val="20"/>
    </w:rPr>
  </w:style>
  <w:style w:type="character" w:customStyle="1" w:styleId="apple-converted-space">
    <w:name w:val="apple-converted-space"/>
    <w:basedOn w:val="DefaultParagraphFont"/>
    <w:rsid w:val="00B66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280">
      <w:bodyDiv w:val="1"/>
      <w:marLeft w:val="0"/>
      <w:marRight w:val="0"/>
      <w:marTop w:val="0"/>
      <w:marBottom w:val="0"/>
      <w:divBdr>
        <w:top w:val="none" w:sz="0" w:space="0" w:color="auto"/>
        <w:left w:val="none" w:sz="0" w:space="0" w:color="auto"/>
        <w:bottom w:val="none" w:sz="0" w:space="0" w:color="auto"/>
        <w:right w:val="none" w:sz="0" w:space="0" w:color="auto"/>
      </w:divBdr>
      <w:divsChild>
        <w:div w:id="1495562432">
          <w:marLeft w:val="0"/>
          <w:marRight w:val="0"/>
          <w:marTop w:val="0"/>
          <w:marBottom w:val="0"/>
          <w:divBdr>
            <w:top w:val="none" w:sz="0" w:space="0" w:color="auto"/>
            <w:left w:val="none" w:sz="0" w:space="0" w:color="auto"/>
            <w:bottom w:val="none" w:sz="0" w:space="0" w:color="auto"/>
            <w:right w:val="none" w:sz="0" w:space="0" w:color="auto"/>
          </w:divBdr>
          <w:divsChild>
            <w:div w:id="1828521319">
              <w:marLeft w:val="0"/>
              <w:marRight w:val="0"/>
              <w:marTop w:val="0"/>
              <w:marBottom w:val="0"/>
              <w:divBdr>
                <w:top w:val="none" w:sz="0" w:space="0" w:color="auto"/>
                <w:left w:val="none" w:sz="0" w:space="0" w:color="auto"/>
                <w:bottom w:val="none" w:sz="0" w:space="0" w:color="auto"/>
                <w:right w:val="none" w:sz="0" w:space="0" w:color="auto"/>
              </w:divBdr>
              <w:divsChild>
                <w:div w:id="2069450557">
                  <w:marLeft w:val="0"/>
                  <w:marRight w:val="0"/>
                  <w:marTop w:val="0"/>
                  <w:marBottom w:val="0"/>
                  <w:divBdr>
                    <w:top w:val="none" w:sz="0" w:space="0" w:color="auto"/>
                    <w:left w:val="none" w:sz="0" w:space="0" w:color="auto"/>
                    <w:bottom w:val="none" w:sz="0" w:space="0" w:color="auto"/>
                    <w:right w:val="none" w:sz="0" w:space="0" w:color="auto"/>
                  </w:divBdr>
                  <w:divsChild>
                    <w:div w:id="744651137">
                      <w:marLeft w:val="0"/>
                      <w:marRight w:val="0"/>
                      <w:marTop w:val="0"/>
                      <w:marBottom w:val="0"/>
                      <w:divBdr>
                        <w:top w:val="none" w:sz="0" w:space="0" w:color="auto"/>
                        <w:left w:val="none" w:sz="0" w:space="0" w:color="auto"/>
                        <w:bottom w:val="none" w:sz="0" w:space="0" w:color="auto"/>
                        <w:right w:val="none" w:sz="0" w:space="0" w:color="auto"/>
                      </w:divBdr>
                      <w:divsChild>
                        <w:div w:id="1838111378">
                          <w:marLeft w:val="0"/>
                          <w:marRight w:val="0"/>
                          <w:marTop w:val="0"/>
                          <w:marBottom w:val="0"/>
                          <w:divBdr>
                            <w:top w:val="none" w:sz="0" w:space="0" w:color="auto"/>
                            <w:left w:val="none" w:sz="0" w:space="0" w:color="auto"/>
                            <w:bottom w:val="none" w:sz="0" w:space="0" w:color="auto"/>
                            <w:right w:val="none" w:sz="0" w:space="0" w:color="auto"/>
                          </w:divBdr>
                          <w:divsChild>
                            <w:div w:id="1687780060">
                              <w:marLeft w:val="0"/>
                              <w:marRight w:val="0"/>
                              <w:marTop w:val="0"/>
                              <w:marBottom w:val="0"/>
                              <w:divBdr>
                                <w:top w:val="none" w:sz="0" w:space="0" w:color="auto"/>
                                <w:left w:val="none" w:sz="0" w:space="0" w:color="auto"/>
                                <w:bottom w:val="none" w:sz="0" w:space="0" w:color="auto"/>
                                <w:right w:val="none" w:sz="0" w:space="0" w:color="auto"/>
                              </w:divBdr>
                              <w:divsChild>
                                <w:div w:id="85394528">
                                  <w:marLeft w:val="0"/>
                                  <w:marRight w:val="0"/>
                                  <w:marTop w:val="0"/>
                                  <w:marBottom w:val="0"/>
                                  <w:divBdr>
                                    <w:top w:val="none" w:sz="0" w:space="0" w:color="auto"/>
                                    <w:left w:val="none" w:sz="0" w:space="0" w:color="auto"/>
                                    <w:bottom w:val="none" w:sz="0" w:space="0" w:color="auto"/>
                                    <w:right w:val="none" w:sz="0" w:space="0" w:color="auto"/>
                                  </w:divBdr>
                                  <w:divsChild>
                                    <w:div w:id="1998222224">
                                      <w:marLeft w:val="0"/>
                                      <w:marRight w:val="0"/>
                                      <w:marTop w:val="0"/>
                                      <w:marBottom w:val="0"/>
                                      <w:divBdr>
                                        <w:top w:val="none" w:sz="0" w:space="0" w:color="auto"/>
                                        <w:left w:val="none" w:sz="0" w:space="0" w:color="auto"/>
                                        <w:bottom w:val="none" w:sz="0" w:space="0" w:color="auto"/>
                                        <w:right w:val="none" w:sz="0" w:space="0" w:color="auto"/>
                                      </w:divBdr>
                                      <w:divsChild>
                                        <w:div w:id="584529960">
                                          <w:marLeft w:val="0"/>
                                          <w:marRight w:val="0"/>
                                          <w:marTop w:val="0"/>
                                          <w:marBottom w:val="0"/>
                                          <w:divBdr>
                                            <w:top w:val="none" w:sz="0" w:space="0" w:color="auto"/>
                                            <w:left w:val="none" w:sz="0" w:space="0" w:color="auto"/>
                                            <w:bottom w:val="none" w:sz="0" w:space="0" w:color="auto"/>
                                            <w:right w:val="none" w:sz="0" w:space="0" w:color="auto"/>
                                          </w:divBdr>
                                          <w:divsChild>
                                            <w:div w:id="936865927">
                                              <w:marLeft w:val="0"/>
                                              <w:marRight w:val="0"/>
                                              <w:marTop w:val="0"/>
                                              <w:marBottom w:val="0"/>
                                              <w:divBdr>
                                                <w:top w:val="none" w:sz="0" w:space="0" w:color="auto"/>
                                                <w:left w:val="none" w:sz="0" w:space="0" w:color="auto"/>
                                                <w:bottom w:val="none" w:sz="0" w:space="0" w:color="auto"/>
                                                <w:right w:val="none" w:sz="0" w:space="0" w:color="auto"/>
                                              </w:divBdr>
                                              <w:divsChild>
                                                <w:div w:id="1767533083">
                                                  <w:marLeft w:val="0"/>
                                                  <w:marRight w:val="0"/>
                                                  <w:marTop w:val="0"/>
                                                  <w:marBottom w:val="0"/>
                                                  <w:divBdr>
                                                    <w:top w:val="none" w:sz="0" w:space="0" w:color="auto"/>
                                                    <w:left w:val="none" w:sz="0" w:space="0" w:color="auto"/>
                                                    <w:bottom w:val="none" w:sz="0" w:space="0" w:color="auto"/>
                                                    <w:right w:val="none" w:sz="0" w:space="0" w:color="auto"/>
                                                  </w:divBdr>
                                                  <w:divsChild>
                                                    <w:div w:id="2119762406">
                                                      <w:marLeft w:val="0"/>
                                                      <w:marRight w:val="75"/>
                                                      <w:marTop w:val="0"/>
                                                      <w:marBottom w:val="0"/>
                                                      <w:divBdr>
                                                        <w:top w:val="none" w:sz="0" w:space="0" w:color="auto"/>
                                                        <w:left w:val="none" w:sz="0" w:space="0" w:color="auto"/>
                                                        <w:bottom w:val="none" w:sz="0" w:space="0" w:color="auto"/>
                                                        <w:right w:val="none" w:sz="0" w:space="0" w:color="auto"/>
                                                      </w:divBdr>
                                                      <w:divsChild>
                                                        <w:div w:id="194386712">
                                                          <w:marLeft w:val="0"/>
                                                          <w:marRight w:val="0"/>
                                                          <w:marTop w:val="0"/>
                                                          <w:marBottom w:val="0"/>
                                                          <w:divBdr>
                                                            <w:top w:val="none" w:sz="0" w:space="0" w:color="auto"/>
                                                            <w:left w:val="none" w:sz="0" w:space="0" w:color="auto"/>
                                                            <w:bottom w:val="none" w:sz="0" w:space="0" w:color="auto"/>
                                                            <w:right w:val="none" w:sz="0" w:space="0" w:color="auto"/>
                                                          </w:divBdr>
                                                          <w:divsChild>
                                                            <w:div w:id="1739208902">
                                                              <w:marLeft w:val="0"/>
                                                              <w:marRight w:val="0"/>
                                                              <w:marTop w:val="0"/>
                                                              <w:marBottom w:val="0"/>
                                                              <w:divBdr>
                                                                <w:top w:val="none" w:sz="0" w:space="0" w:color="auto"/>
                                                                <w:left w:val="none" w:sz="0" w:space="0" w:color="auto"/>
                                                                <w:bottom w:val="none" w:sz="0" w:space="0" w:color="auto"/>
                                                                <w:right w:val="none" w:sz="0" w:space="0" w:color="auto"/>
                                                              </w:divBdr>
                                                              <w:divsChild>
                                                                <w:div w:id="870336433">
                                                                  <w:marLeft w:val="0"/>
                                                                  <w:marRight w:val="0"/>
                                                                  <w:marTop w:val="0"/>
                                                                  <w:marBottom w:val="0"/>
                                                                  <w:divBdr>
                                                                    <w:top w:val="none" w:sz="0" w:space="0" w:color="auto"/>
                                                                    <w:left w:val="none" w:sz="0" w:space="0" w:color="auto"/>
                                                                    <w:bottom w:val="none" w:sz="0" w:space="0" w:color="auto"/>
                                                                    <w:right w:val="none" w:sz="0" w:space="0" w:color="auto"/>
                                                                  </w:divBdr>
                                                                  <w:divsChild>
                                                                    <w:div w:id="1381707213">
                                                                      <w:marLeft w:val="0"/>
                                                                      <w:marRight w:val="0"/>
                                                                      <w:marTop w:val="0"/>
                                                                      <w:marBottom w:val="88"/>
                                                                      <w:divBdr>
                                                                        <w:top w:val="single" w:sz="4" w:space="0" w:color="EDEDED"/>
                                                                        <w:left w:val="single" w:sz="4" w:space="0" w:color="EDEDED"/>
                                                                        <w:bottom w:val="single" w:sz="4" w:space="0" w:color="EDEDED"/>
                                                                        <w:right w:val="single" w:sz="4" w:space="0" w:color="EDEDED"/>
                                                                      </w:divBdr>
                                                                      <w:divsChild>
                                                                        <w:div w:id="514156860">
                                                                          <w:marLeft w:val="0"/>
                                                                          <w:marRight w:val="0"/>
                                                                          <w:marTop w:val="0"/>
                                                                          <w:marBottom w:val="0"/>
                                                                          <w:divBdr>
                                                                            <w:top w:val="none" w:sz="0" w:space="0" w:color="auto"/>
                                                                            <w:left w:val="none" w:sz="0" w:space="0" w:color="auto"/>
                                                                            <w:bottom w:val="none" w:sz="0" w:space="0" w:color="auto"/>
                                                                            <w:right w:val="none" w:sz="0" w:space="0" w:color="auto"/>
                                                                          </w:divBdr>
                                                                          <w:divsChild>
                                                                            <w:div w:id="1652565492">
                                                                              <w:marLeft w:val="0"/>
                                                                              <w:marRight w:val="0"/>
                                                                              <w:marTop w:val="0"/>
                                                                              <w:marBottom w:val="0"/>
                                                                              <w:divBdr>
                                                                                <w:top w:val="none" w:sz="0" w:space="0" w:color="auto"/>
                                                                                <w:left w:val="none" w:sz="0" w:space="0" w:color="auto"/>
                                                                                <w:bottom w:val="none" w:sz="0" w:space="0" w:color="auto"/>
                                                                                <w:right w:val="none" w:sz="0" w:space="0" w:color="auto"/>
                                                                              </w:divBdr>
                                                                              <w:divsChild>
                                                                                <w:div w:id="881867089">
                                                                                  <w:marLeft w:val="0"/>
                                                                                  <w:marRight w:val="0"/>
                                                                                  <w:marTop w:val="0"/>
                                                                                  <w:marBottom w:val="0"/>
                                                                                  <w:divBdr>
                                                                                    <w:top w:val="none" w:sz="0" w:space="0" w:color="auto"/>
                                                                                    <w:left w:val="none" w:sz="0" w:space="0" w:color="auto"/>
                                                                                    <w:bottom w:val="none" w:sz="0" w:space="0" w:color="auto"/>
                                                                                    <w:right w:val="none" w:sz="0" w:space="0" w:color="auto"/>
                                                                                  </w:divBdr>
                                                                                  <w:divsChild>
                                                                                    <w:div w:id="1175531865">
                                                                                      <w:marLeft w:val="150"/>
                                                                                      <w:marRight w:val="150"/>
                                                                                      <w:marTop w:val="0"/>
                                                                                      <w:marBottom w:val="0"/>
                                                                                      <w:divBdr>
                                                                                        <w:top w:val="none" w:sz="0" w:space="0" w:color="auto"/>
                                                                                        <w:left w:val="none" w:sz="0" w:space="0" w:color="auto"/>
                                                                                        <w:bottom w:val="none" w:sz="0" w:space="0" w:color="auto"/>
                                                                                        <w:right w:val="none" w:sz="0" w:space="0" w:color="auto"/>
                                                                                      </w:divBdr>
                                                                                      <w:divsChild>
                                                                                        <w:div w:id="155194648">
                                                                                          <w:marLeft w:val="0"/>
                                                                                          <w:marRight w:val="0"/>
                                                                                          <w:marTop w:val="0"/>
                                                                                          <w:marBottom w:val="0"/>
                                                                                          <w:divBdr>
                                                                                            <w:top w:val="none" w:sz="0" w:space="0" w:color="auto"/>
                                                                                            <w:left w:val="none" w:sz="0" w:space="0" w:color="auto"/>
                                                                                            <w:bottom w:val="none" w:sz="0" w:space="0" w:color="auto"/>
                                                                                            <w:right w:val="none" w:sz="0" w:space="0" w:color="auto"/>
                                                                                          </w:divBdr>
                                                                                          <w:divsChild>
                                                                                            <w:div w:id="37755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581625">
                                                                                                  <w:marLeft w:val="0"/>
                                                                                                  <w:marRight w:val="0"/>
                                                                                                  <w:marTop w:val="0"/>
                                                                                                  <w:marBottom w:val="0"/>
                                                                                                  <w:divBdr>
                                                                                                    <w:top w:val="none" w:sz="0" w:space="0" w:color="auto"/>
                                                                                                    <w:left w:val="none" w:sz="0" w:space="0" w:color="auto"/>
                                                                                                    <w:bottom w:val="none" w:sz="0" w:space="0" w:color="auto"/>
                                                                                                    <w:right w:val="none" w:sz="0" w:space="0" w:color="auto"/>
                                                                                                  </w:divBdr>
                                                                                                  <w:divsChild>
                                                                                                    <w:div w:id="2084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55942">
      <w:bodyDiv w:val="1"/>
      <w:marLeft w:val="0"/>
      <w:marRight w:val="0"/>
      <w:marTop w:val="0"/>
      <w:marBottom w:val="0"/>
      <w:divBdr>
        <w:top w:val="none" w:sz="0" w:space="0" w:color="auto"/>
        <w:left w:val="none" w:sz="0" w:space="0" w:color="auto"/>
        <w:bottom w:val="none" w:sz="0" w:space="0" w:color="auto"/>
        <w:right w:val="none" w:sz="0" w:space="0" w:color="auto"/>
      </w:divBdr>
    </w:div>
    <w:div w:id="819999524">
      <w:bodyDiv w:val="1"/>
      <w:marLeft w:val="0"/>
      <w:marRight w:val="0"/>
      <w:marTop w:val="0"/>
      <w:marBottom w:val="0"/>
      <w:divBdr>
        <w:top w:val="none" w:sz="0" w:space="0" w:color="auto"/>
        <w:left w:val="none" w:sz="0" w:space="0" w:color="auto"/>
        <w:bottom w:val="none" w:sz="0" w:space="0" w:color="auto"/>
        <w:right w:val="none" w:sz="0" w:space="0" w:color="auto"/>
      </w:divBdr>
    </w:div>
    <w:div w:id="831290673">
      <w:bodyDiv w:val="1"/>
      <w:marLeft w:val="0"/>
      <w:marRight w:val="0"/>
      <w:marTop w:val="0"/>
      <w:marBottom w:val="0"/>
      <w:divBdr>
        <w:top w:val="none" w:sz="0" w:space="0" w:color="auto"/>
        <w:left w:val="none" w:sz="0" w:space="0" w:color="auto"/>
        <w:bottom w:val="none" w:sz="0" w:space="0" w:color="auto"/>
        <w:right w:val="none" w:sz="0" w:space="0" w:color="auto"/>
      </w:divBdr>
    </w:div>
    <w:div w:id="945304904">
      <w:bodyDiv w:val="1"/>
      <w:marLeft w:val="0"/>
      <w:marRight w:val="0"/>
      <w:marTop w:val="0"/>
      <w:marBottom w:val="0"/>
      <w:divBdr>
        <w:top w:val="none" w:sz="0" w:space="0" w:color="auto"/>
        <w:left w:val="none" w:sz="0" w:space="0" w:color="auto"/>
        <w:bottom w:val="none" w:sz="0" w:space="0" w:color="auto"/>
        <w:right w:val="none" w:sz="0" w:space="0" w:color="auto"/>
      </w:divBdr>
    </w:div>
    <w:div w:id="112172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msdn.microsoft.com/en-us/library/ms188388(v=sql.120).aspx" TargetMode="External"/><Relationship Id="rId26" Type="http://schemas.openxmlformats.org/officeDocument/2006/relationships/hyperlink" Target="http://www.microsoft.com/en-us/sqlserver/sql-server-2014.aspx" TargetMode="External"/><Relationship Id="rId3" Type="http://schemas.openxmlformats.org/officeDocument/2006/relationships/customXml" Target="../customXml/item3.xml"/><Relationship Id="rId21" Type="http://schemas.openxmlformats.org/officeDocument/2006/relationships/hyperlink" Target="http://msdn.microsoft.com/en-us/library/hh510189(v=sql.120).aspx"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msdn.microsoft.com/en-us/library/ms190273(v=sql.120).aspx" TargetMode="External"/><Relationship Id="rId25" Type="http://schemas.openxmlformats.org/officeDocument/2006/relationships/hyperlink" Target="http://www.microsoft.com/sqlserver/en/us/solutions-technologies/data-warehousing/fast-track.asp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msdn.microsoft.com/en-us/library/dn589807(v=sql.120).aspx" TargetMode="External"/><Relationship Id="rId20" Type="http://schemas.openxmlformats.org/officeDocument/2006/relationships/hyperlink" Target="http://msdn.microsoft.com/en-us/library/ms179984(v=sql.120).aspx" TargetMode="External"/><Relationship Id="rId29" Type="http://schemas.openxmlformats.org/officeDocument/2006/relationships/hyperlink" Target="http://msdn.microsoft.com/en-us/sqlserv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msdn.microsoft.com/en-us/library/ms188038(v=sql.120).aspx" TargetMode="External"/><Relationship Id="rId32" Type="http://schemas.openxmlformats.org/officeDocument/2006/relationships/hyperlink" Target="http://www.microsoft.com/sqlserver/en/us/solutions-technologies/business-intelligence/big-data-solution.asp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msdn.microsoft.com/en-us/library/bb934013(v=sql.120).aspx" TargetMode="External"/><Relationship Id="rId28" Type="http://schemas.openxmlformats.org/officeDocument/2006/relationships/hyperlink" Target="http://technet.microsoft.com/en-us/sqlserve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msdn.microsoft.com/en-us/library/ms190345(v=sql.120).aspx" TargetMode="External"/><Relationship Id="rId31" Type="http://schemas.openxmlformats.org/officeDocument/2006/relationships/hyperlink" Target="http://www.microsof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msdn.microsoft.com/en-us/library/bb895329(v=sql.120).aspx" TargetMode="External"/><Relationship Id="rId27" Type="http://schemas.openxmlformats.org/officeDocument/2006/relationships/hyperlink" Target="http://www.microsoft.com/sqlserver/" TargetMode="External"/><Relationship Id="rId30" Type="http://schemas.openxmlformats.org/officeDocument/2006/relationships/hyperlink" Target="http://www.microsoft.com/sqlserver/en/us/solutions-technologies/data-warehousing.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microsoft.com/casestudies/Microsoft-SQL-Server-2014-Enterprise/NASDAQ-OMX/NASDAQ-OMX-Group-Reduces-2-PB-of-Data-to-500-TB-with-Microsoft-In-Memory-Technology/710000004283" TargetMode="External"/><Relationship Id="rId2" Type="http://schemas.openxmlformats.org/officeDocument/2006/relationships/hyperlink" Target="http://research.microsoft.com/pubs/193599/Apollo3%20-%20Sigmod%202013%20-%20final.pdf" TargetMode="External"/><Relationship Id="rId1" Type="http://schemas.openxmlformats.org/officeDocument/2006/relationships/hyperlink" Target="http://blogs.technet.com/b/dataplatforminsider/archive/2014/04/16/sql-server-2014-and-hp-sets-two-world-records-for-data-warehousing-leading-in-both-performance-and-price-performance.aspx" TargetMode="External"/><Relationship Id="rId5" Type="http://schemas.openxmlformats.org/officeDocument/2006/relationships/hyperlink" Target="http://blogs.technet.com/b/dataplatforminsider/archive/2014/04/16/sql-server-2014-and-hp-sets-two-world-records-for-data-warehousing-leading-in-both-performance-and-price-performance.aspx" TargetMode="External"/><Relationship Id="rId4" Type="http://schemas.openxmlformats.org/officeDocument/2006/relationships/hyperlink" Target="http://www.microsoft.com/casestudies/Case_Study_Detail.aspx?CaseStudyID=7100000043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B SQL Server">
      <a:dk1>
        <a:srgbClr val="505050"/>
      </a:dk1>
      <a:lt1>
        <a:srgbClr val="FFFFFF"/>
      </a:lt1>
      <a:dk2>
        <a:srgbClr val="002050"/>
      </a:dk2>
      <a:lt2>
        <a:srgbClr val="BB141A"/>
      </a:lt2>
      <a:accent1>
        <a:srgbClr val="0072BC"/>
      </a:accent1>
      <a:accent2>
        <a:srgbClr val="BB141A"/>
      </a:accent2>
      <a:accent3>
        <a:srgbClr val="00887E"/>
      </a:accent3>
      <a:accent4>
        <a:srgbClr val="0054A6"/>
      </a:accent4>
      <a:accent5>
        <a:srgbClr val="F26522"/>
      </a:accent5>
      <a:accent6>
        <a:srgbClr val="662D91"/>
      </a:accent6>
      <a:hlink>
        <a:srgbClr val="002050"/>
      </a:hlink>
      <a:folHlink>
        <a:srgbClr val="00887E"/>
      </a:folHlink>
    </a:clrScheme>
    <a:fontScheme name="MS BRAND fonts">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ct:contentTypeSchema ct:_="" ma:_="" ma:contentTypeName="Document" ma:contentTypeID="0x010100E2D8DC3A546195438B84F84926B41073" ma:contentTypeVersion="" ma:contentTypeDescription="Create a new document." ma:contentTypeScope="" ma:versionID="3e96949eb73d99956dc088c1cf7d4317" xmlns:ct="http://schemas.microsoft.com/office/2006/metadata/contentType" xmlns:ma="http://schemas.microsoft.com/office/2006/metadata/properties/metaAttributes">
<xsd:schema targetNamespace="http://schemas.microsoft.com/office/2006/metadata/properties" ma:root="true" ma:fieldsID="bee7aab628f65d2ad7b6eff20c354948" ns2:_="" xmlns:xsd="http://www.w3.org/2001/XMLSchema" xmlns:xs="http://www.w3.org/2001/XMLSchema" xmlns:p="http://schemas.microsoft.com/office/2006/metadata/properties" xmlns:ns2="$ListId:Working Documents;">
<xsd:import namespace="$ListId:Working Documents;"/>
<xsd:element name="properties">
<xsd:complexType>
<xsd:sequence>
<xsd:element name="documentManagement">
<xsd:complexType>
<xsd:all>
<xsd:element ref="ns2:Status" minOccurs="0"/>
</xsd:all>
</xsd:complexType>
</xsd:element>
</xsd:sequence>
</xsd:complexType>
</xsd:element>
</xsd:schema>
<xsd:schema targetNamespace="$ListId:Working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atus" ma:index="8" nillable="true" ma:displayName="Status" ma:default="Outline" ma:format="Dropdown" ma:internalName="Status">
<xsd:simpleType>
<xsd:restriction base="dms:Choice">
<xsd:enumeration value="Outline"/>
<xsd:enumeration value="Draft"/>
<xsd:enumeration value="Pre-Final"/>
<xsd:enumeration value="Final"/>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p:properties xmlns:p="http://schemas.microsoft.com/office/2006/metadata/properties" xmlns:xsi="http://www.w3.org/2001/XMLSchema-instance" xmlns:pc="http://schemas.microsoft.com/office/infopath/2007/PartnerControls"><documentManagement><Status xmlns="$ListId:Working Documents;">Final</Status></documentManagement></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06B2B-7561-4A51-AEDF-996DDFDCA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D38EC0-EBED-4A5F-9250-C2BCF41DC5DD}">
  <ds:schemaRefs>
    <ds:schemaRef ds:uri="http://schemas.microsoft.com/sharepoint/v3/contenttype/forms"/>
  </ds:schemaRefs>
</ds:datastoreItem>
</file>

<file path=customXml/itemProps3.xml><?xml version="1.0" encoding="utf-8"?>
<ds:datastoreItem xmlns:ds="http://schemas.openxmlformats.org/officeDocument/2006/customXml" ds:itemID="{D0739F49-EE08-40AE-99EE-630BADCB08D2}">
  <ds:schemaRefs>
    <ds:schemaRef ds:uri="http://schemas.microsoft.com/office/2006/metadata/properties"/>
    <ds:schemaRef ds:uri="http://schemas.microsoft.com/office/infopath/2007/PartnerControls"/>
    <ds:schemaRef ds:uri="$ListId:Working Documents;"/>
  </ds:schemaRefs>
</ds:datastoreItem>
</file>

<file path=customXml/itemProps4.xml><?xml version="1.0" encoding="utf-8"?>
<ds:datastoreItem xmlns:ds="http://schemas.openxmlformats.org/officeDocument/2006/customXml" ds:itemID="{2A92A652-ACB1-4800-BC31-C3B5AA1E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What's new for Data Warehouse Fast Track for SQL Server 2014</vt:lpstr>
    </vt:vector>
  </TitlesOfParts>
  <Manager/>
  <Company/>
  <LinksUpToDate>false</LinksUpToDate>
  <CharactersWithSpaces>21002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for Data Warehouse Fast Track for SQL Server 2014</dc:title>
  <dc:subject/>
  <dc:creator/>
  <cp:keywords/>
  <cp:lastModifiedBy/>
  <cp:revision>1</cp:revision>
  <dcterms:created xsi:type="dcterms:W3CDTF">2014-05-22T21:39:00Z</dcterms:created>
  <dcterms:modified xsi:type="dcterms:W3CDTF">2014-05-23T19:56:00Z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0x010100E2D8DC3A546195438B84F84926B41073</vt:lpwstr>
  </property>
</Properties>
</file>